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pStyle w:val="8"/>
        <w:ind w:firstLine="0" w:firstLineChars="0"/>
        <w:rPr>
          <w:rFonts w:ascii="方正小标宋简体" w:eastAsia="方正小标宋简体"/>
          <w:color w:val="auto"/>
          <w:sz w:val="52"/>
          <w:szCs w:val="52"/>
        </w:rPr>
      </w:pPr>
      <w:r>
        <w:rPr>
          <w:rFonts w:hint="eastAsia" w:ascii="方正小标宋简体" w:eastAsia="方正小标宋简体"/>
          <w:color w:val="auto"/>
          <w:sz w:val="52"/>
          <w:szCs w:val="52"/>
          <w:lang w:eastAsia="zh-CN"/>
        </w:rPr>
        <w:t>电白雅居</w:t>
      </w:r>
      <w:r>
        <w:rPr>
          <w:rFonts w:hint="eastAsia" w:ascii="方正小标宋简体" w:eastAsia="方正小标宋简体"/>
          <w:color w:val="auto"/>
          <w:sz w:val="52"/>
          <w:szCs w:val="52"/>
        </w:rPr>
        <w:t>项目</w:t>
      </w:r>
    </w:p>
    <w:p>
      <w:pPr>
        <w:pStyle w:val="8"/>
        <w:ind w:firstLine="0" w:firstLineChars="0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52"/>
          <w:szCs w:val="52"/>
        </w:rPr>
        <w:t>2021年度绩效自评报告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一、基本情况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（一）项目概况。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color w:val="auto"/>
          <w:szCs w:val="32"/>
        </w:rPr>
        <w:t>本项目</w:t>
      </w:r>
      <w:r>
        <w:rPr>
          <w:rFonts w:hint="eastAsia" w:hAnsi="仿宋_GB2312" w:cs="仿宋_GB2312"/>
          <w:color w:val="auto"/>
          <w:szCs w:val="32"/>
          <w:lang w:eastAsia="zh-CN"/>
        </w:rPr>
        <w:t>位于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  <w:t>海口市江东新区美庄路，北京师范大学海口附属学校的北侧。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总用地面积 62411.599 平方米，总建筑面积 238394.02平方米，其中住宅建筑面积 179017.89 平方米，幼儿园建筑面积1909.02 平方米，商业用房建筑面积 2930.53 平方米，邻里中心建筑面积 4184.41 平方米，辅助用房建筑面积 116.25 平方米，物业用房面积 527.42 平方米，保安亭 72.36 平方米，更衣室 66.34 平方米，人防出地面 29.34 平方米，地下室建筑面积49540.46 平方米。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textAlignment w:val="baseline"/>
        <w:rPr>
          <w:rFonts w:hAnsi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</w:rPr>
        <w:t>总投资及资金来源：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项目总投资为122866.50万元，其中建设工程费为105041.42万元，工程建设其他费为10995.87万元，建设单位管理费1027.36万元，预备费为5801.86万元。</w:t>
      </w:r>
      <w:r>
        <w:rPr>
          <w:rFonts w:hint="eastAsia" w:hAnsi="仿宋_GB2312" w:cs="仿宋_GB2312"/>
          <w:color w:val="auto"/>
          <w:szCs w:val="32"/>
        </w:rPr>
        <w:t>资金来源为政府投资。</w:t>
      </w:r>
    </w:p>
    <w:p>
      <w:pPr>
        <w:adjustRightInd w:val="0"/>
        <w:snapToGrid w:val="0"/>
        <w:spacing w:line="576" w:lineRule="exact"/>
        <w:rPr>
          <w:rFonts w:hAnsi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</w:rPr>
        <w:t>计划开竣工年月：202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0</w:t>
      </w:r>
      <w:r>
        <w:rPr>
          <w:rFonts w:hint="eastAsia" w:hAnsi="仿宋_GB2312" w:cs="仿宋_GB2312"/>
          <w:color w:val="auto"/>
          <w:szCs w:val="32"/>
        </w:rPr>
        <w:t>年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6</w:t>
      </w:r>
      <w:r>
        <w:rPr>
          <w:rFonts w:hint="eastAsia" w:hAnsi="仿宋_GB2312" w:cs="仿宋_GB2312"/>
          <w:color w:val="auto"/>
          <w:szCs w:val="32"/>
        </w:rPr>
        <w:t>月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18</w:t>
      </w:r>
      <w:r>
        <w:rPr>
          <w:rFonts w:hint="eastAsia" w:hAnsi="仿宋_GB2312" w:cs="仿宋_GB2312"/>
          <w:color w:val="auto"/>
          <w:szCs w:val="32"/>
        </w:rPr>
        <w:t>日至202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3</w:t>
      </w:r>
      <w:r>
        <w:rPr>
          <w:rFonts w:hint="eastAsia" w:hAnsi="仿宋_GB2312" w:cs="仿宋_GB2312"/>
          <w:color w:val="auto"/>
          <w:szCs w:val="32"/>
        </w:rPr>
        <w:t>年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3</w:t>
      </w:r>
      <w:r>
        <w:rPr>
          <w:rFonts w:hint="eastAsia" w:hAnsi="仿宋_GB2312" w:cs="仿宋_GB2312"/>
          <w:color w:val="auto"/>
          <w:szCs w:val="32"/>
        </w:rPr>
        <w:t>月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4</w:t>
      </w:r>
      <w:r>
        <w:rPr>
          <w:rFonts w:hint="eastAsia" w:hAnsi="仿宋_GB2312" w:cs="仿宋_GB2312"/>
          <w:color w:val="auto"/>
          <w:szCs w:val="32"/>
        </w:rPr>
        <w:t>日。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（二）项目资金情况。</w:t>
      </w:r>
    </w:p>
    <w:p>
      <w:pPr>
        <w:rPr>
          <w:rFonts w:hint="default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2021年该项目已到位资金55000万元，均为地债资金。</w:t>
      </w:r>
    </w:p>
    <w:p>
      <w:pPr>
        <w:pStyle w:val="3"/>
        <w:ind w:firstLine="0" w:firstLineChars="0"/>
        <w:rPr>
          <w:color w:val="auto"/>
        </w:rPr>
      </w:pPr>
      <w:r>
        <w:rPr>
          <w:rFonts w:hint="eastAsia"/>
          <w:color w:val="auto"/>
        </w:rPr>
        <w:t>二、绩效目标完成情况分析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（一）资金情况分析。</w:t>
      </w:r>
    </w:p>
    <w:p>
      <w:pPr>
        <w:rPr>
          <w:color w:val="auto"/>
        </w:rPr>
      </w:pPr>
      <w:r>
        <w:rPr>
          <w:rFonts w:hint="eastAsia"/>
          <w:color w:val="auto"/>
        </w:rPr>
        <w:t>该项目2021年到位资金</w:t>
      </w:r>
      <w:r>
        <w:rPr>
          <w:rFonts w:hint="eastAsia"/>
          <w:color w:val="auto"/>
          <w:lang w:val="en-US" w:eastAsia="zh-CN"/>
        </w:rPr>
        <w:t>55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0</w:t>
      </w:r>
      <w:r>
        <w:rPr>
          <w:rFonts w:hint="eastAsia"/>
          <w:color w:val="auto"/>
        </w:rPr>
        <w:t>00万元。在项目资金使用上，业主、代建单位严格执行政府投资项目和资金管理办法，严格落实资金审批程序，加快资金拨付，全面保障项目建设资金用款需要。</w:t>
      </w:r>
    </w:p>
    <w:p>
      <w:pPr>
        <w:pStyle w:val="3"/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总体目标完成情况分析。</w:t>
      </w:r>
    </w:p>
    <w:p>
      <w:pPr>
        <w:rPr>
          <w:color w:val="auto"/>
        </w:rPr>
      </w:pPr>
      <w:r>
        <w:rPr>
          <w:rFonts w:hint="eastAsia"/>
          <w:color w:val="auto"/>
          <w:lang w:bidi="ar"/>
        </w:rPr>
        <w:t>项目年度目标为：</w:t>
      </w:r>
      <w:r>
        <w:rPr>
          <w:rFonts w:hint="eastAsia"/>
          <w:color w:val="auto"/>
        </w:rPr>
        <w:t>项目2021年的施工计划是现场19栋主体建筑全部完成主体封顶工作。</w:t>
      </w:r>
    </w:p>
    <w:p>
      <w:pPr>
        <w:rPr>
          <w:color w:val="auto"/>
        </w:rPr>
      </w:pPr>
      <w:r>
        <w:rPr>
          <w:rFonts w:hint="eastAsia"/>
          <w:color w:val="auto"/>
          <w:lang w:bidi="ar"/>
        </w:rPr>
        <w:t>项目年度完成情况：</w:t>
      </w:r>
      <w:r>
        <w:rPr>
          <w:rFonts w:hint="eastAsia"/>
          <w:color w:val="auto"/>
        </w:rPr>
        <w:t>项目2021年年底已完成现场19栋主体建筑封顶工作。完成年度目标。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（三）绩效指标完成情况分析。</w:t>
      </w:r>
    </w:p>
    <w:p>
      <w:pPr>
        <w:rPr>
          <w:color w:val="auto"/>
        </w:rPr>
      </w:pPr>
      <w:r>
        <w:rPr>
          <w:rFonts w:hint="eastAsia"/>
          <w:color w:val="auto"/>
        </w:rPr>
        <w:t>1.产出指标：</w:t>
      </w:r>
    </w:p>
    <w:p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>（1）获得可研、概算批复数量：</w:t>
      </w:r>
    </w:p>
    <w:p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>目标：=2件</w:t>
      </w:r>
    </w:p>
    <w:p>
      <w:pPr>
        <w:rPr>
          <w:rFonts w:hAnsi="仿宋_GB2312" w:cs="仿宋_GB2312"/>
          <w:color w:val="auto"/>
          <w:szCs w:val="32"/>
        </w:rPr>
      </w:pPr>
      <w:r>
        <w:rPr>
          <w:rFonts w:hint="eastAsia"/>
          <w:color w:val="auto"/>
        </w:rPr>
        <w:t>完成情况：完成可研及概算的批复</w:t>
      </w:r>
      <w:r>
        <w:rPr>
          <w:rFonts w:hint="eastAsia" w:hAnsi="仿宋_GB2312" w:cs="仿宋_GB2312"/>
          <w:color w:val="auto"/>
          <w:szCs w:val="32"/>
        </w:rPr>
        <w:t>。完成目标绩效。</w:t>
      </w:r>
    </w:p>
    <w:p>
      <w:pPr>
        <w:rPr>
          <w:color w:val="auto"/>
        </w:rPr>
      </w:pPr>
      <w:r>
        <w:rPr>
          <w:rFonts w:hint="eastAsia"/>
          <w:color w:val="auto"/>
        </w:rPr>
        <w:t>（2）超概算比例：</w:t>
      </w: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目标：≤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</w:rPr>
        <w:t>%</w:t>
      </w: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完成情况：未超出概算批复。</w:t>
      </w:r>
      <w:r>
        <w:rPr>
          <w:rFonts w:hint="eastAsia" w:hAnsi="仿宋_GB2312" w:cs="仿宋_GB2312"/>
          <w:color w:val="auto"/>
          <w:szCs w:val="32"/>
        </w:rPr>
        <w:t>完成目标绩效。</w:t>
      </w:r>
    </w:p>
    <w:p>
      <w:pPr>
        <w:rPr>
          <w:color w:val="auto"/>
        </w:rPr>
      </w:pPr>
      <w:r>
        <w:rPr>
          <w:rFonts w:hint="eastAsia"/>
          <w:color w:val="auto"/>
        </w:rPr>
        <w:t>2.效益指标：</w:t>
      </w:r>
    </w:p>
    <w:p>
      <w:pPr>
        <w:rPr>
          <w:color w:val="auto"/>
        </w:rPr>
      </w:pPr>
      <w:r>
        <w:rPr>
          <w:rFonts w:hint="eastAsia"/>
          <w:color w:val="auto"/>
        </w:rPr>
        <w:t>目标：项目受益人数≥</w:t>
      </w:r>
      <w:r>
        <w:rPr>
          <w:rFonts w:hint="eastAsia"/>
          <w:color w:val="auto"/>
          <w:lang w:val="en-US" w:eastAsia="zh-CN"/>
        </w:rPr>
        <w:t>1944</w:t>
      </w:r>
      <w:r>
        <w:rPr>
          <w:rFonts w:hint="eastAsia"/>
          <w:color w:val="auto"/>
        </w:rPr>
        <w:t>人。</w:t>
      </w:r>
    </w:p>
    <w:p>
      <w:pPr>
        <w:rPr>
          <w:color w:val="auto"/>
        </w:rPr>
      </w:pPr>
      <w:r>
        <w:rPr>
          <w:rFonts w:hint="eastAsia"/>
          <w:color w:val="auto"/>
        </w:rPr>
        <w:t>完成情况：项目周边群众收益，受益人数已超</w:t>
      </w:r>
      <w:r>
        <w:rPr>
          <w:rFonts w:hint="eastAsia"/>
          <w:color w:val="auto"/>
          <w:lang w:val="en-US" w:eastAsia="zh-CN"/>
        </w:rPr>
        <w:t>1944</w:t>
      </w:r>
      <w:r>
        <w:rPr>
          <w:rFonts w:hint="eastAsia"/>
          <w:color w:val="auto"/>
        </w:rPr>
        <w:t>人。</w:t>
      </w:r>
      <w:r>
        <w:rPr>
          <w:rFonts w:hint="eastAsia" w:hAnsi="仿宋_GB2312" w:cs="仿宋_GB2312"/>
          <w:color w:val="auto"/>
          <w:szCs w:val="32"/>
        </w:rPr>
        <w:t>完成目标绩效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rFonts w:hint="eastAsia"/>
          <w:color w:val="auto"/>
        </w:rPr>
        <w:t>3.满意度指标：</w:t>
      </w:r>
    </w:p>
    <w:p>
      <w:pPr>
        <w:rPr>
          <w:color w:val="auto"/>
        </w:rPr>
      </w:pPr>
      <w:r>
        <w:rPr>
          <w:rFonts w:hint="eastAsia"/>
          <w:color w:val="auto"/>
        </w:rPr>
        <w:t>目标：受益群体满意度≥85%</w:t>
      </w:r>
    </w:p>
    <w:p>
      <w:pPr>
        <w:rPr>
          <w:color w:val="auto"/>
        </w:rPr>
      </w:pPr>
      <w:r>
        <w:rPr>
          <w:rFonts w:hint="eastAsia"/>
          <w:color w:val="auto"/>
        </w:rPr>
        <w:t>完成情况：未发现受益群众不满意情况。</w:t>
      </w:r>
      <w:r>
        <w:rPr>
          <w:rFonts w:hint="eastAsia" w:hAnsi="仿宋_GB2312" w:cs="仿宋_GB2312"/>
          <w:color w:val="auto"/>
          <w:szCs w:val="32"/>
        </w:rPr>
        <w:t>完成目标绩效</w:t>
      </w:r>
      <w:r>
        <w:rPr>
          <w:rFonts w:hint="eastAsia"/>
          <w:color w:val="auto"/>
        </w:rPr>
        <w:t>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（四）整体绩效自评。</w:t>
      </w:r>
    </w:p>
    <w:p>
      <w:pPr>
        <w:rPr>
          <w:color w:val="auto"/>
        </w:rPr>
      </w:pPr>
      <w:r>
        <w:rPr>
          <w:rFonts w:hint="eastAsia"/>
          <w:color w:val="auto"/>
          <w:lang w:bidi="ar"/>
        </w:rPr>
        <w:t>该年度</w:t>
      </w:r>
      <w:r>
        <w:rPr>
          <w:rFonts w:hint="eastAsia"/>
          <w:color w:val="auto"/>
          <w:lang w:eastAsia="zh-CN"/>
        </w:rPr>
        <w:t>电白雅居</w:t>
      </w:r>
      <w:r>
        <w:rPr>
          <w:rFonts w:hint="eastAsia"/>
          <w:color w:val="auto"/>
        </w:rPr>
        <w:t>项目</w:t>
      </w:r>
      <w:r>
        <w:rPr>
          <w:rFonts w:hint="eastAsia"/>
          <w:color w:val="auto"/>
          <w:lang w:bidi="ar"/>
        </w:rPr>
        <w:t>整体效益目标已按时完成，绩效自评分数</w:t>
      </w:r>
      <w:r>
        <w:rPr>
          <w:rFonts w:hint="eastAsia"/>
          <w:color w:val="auto"/>
          <w:lang w:val="en-US" w:eastAsia="zh-CN" w:bidi="ar"/>
        </w:rPr>
        <w:t>95</w:t>
      </w:r>
      <w:r>
        <w:rPr>
          <w:rFonts w:hint="eastAsia"/>
          <w:color w:val="auto"/>
          <w:lang w:bidi="ar"/>
        </w:rPr>
        <w:t>分，自评等级优。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三、发现的主要问题和改进措施</w:t>
      </w:r>
    </w:p>
    <w:p>
      <w:pPr>
        <w:rPr>
          <w:color w:val="auto"/>
        </w:rPr>
      </w:pPr>
      <w:r>
        <w:rPr>
          <w:rFonts w:hint="eastAsia"/>
          <w:color w:val="auto"/>
        </w:rPr>
        <w:t>无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四、绩效自评结果拟应用和公开情况</w:t>
      </w:r>
    </w:p>
    <w:p>
      <w:pPr>
        <w:rPr>
          <w:color w:val="auto"/>
        </w:rPr>
      </w:pPr>
      <w:r>
        <w:rPr>
          <w:rFonts w:hint="eastAsia"/>
          <w:color w:val="auto"/>
        </w:rPr>
        <w:t>拟将绩效自评结果用于后续对于</w:t>
      </w:r>
      <w:r>
        <w:rPr>
          <w:rFonts w:hint="eastAsia"/>
          <w:color w:val="auto"/>
          <w:lang w:eastAsia="zh-CN"/>
        </w:rPr>
        <w:t>建设</w:t>
      </w:r>
      <w:r>
        <w:rPr>
          <w:rFonts w:hint="eastAsia"/>
          <w:color w:val="auto"/>
        </w:rPr>
        <w:t>、施工等单位的履职尽责以及专业胜任能力的考核，可作为后续相关合作的考虑因素。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五、绩效自评工作开展情况</w:t>
      </w:r>
    </w:p>
    <w:p>
      <w:pPr>
        <w:rPr>
          <w:color w:val="auto"/>
        </w:rPr>
      </w:pPr>
      <w:r>
        <w:rPr>
          <w:rFonts w:hint="eastAsia" w:ascii="Arial" w:hAnsi="Arial" w:cs="Arial"/>
          <w:color w:val="auto"/>
          <w:shd w:val="clear" w:color="auto" w:fill="FFFFFF"/>
        </w:rPr>
        <w:t>根据</w:t>
      </w:r>
      <w:r>
        <w:rPr>
          <w:rFonts w:ascii="Arial" w:hAnsi="Arial" w:cs="Arial"/>
          <w:color w:val="auto"/>
          <w:shd w:val="clear" w:color="auto" w:fill="FFFFFF"/>
        </w:rPr>
        <w:t>《中共中央 国务院关于全面实施预算绩效管理的意见》，</w:t>
      </w:r>
      <w:r>
        <w:rPr>
          <w:rFonts w:hint="eastAsia" w:ascii="Arial" w:hAnsi="Arial" w:cs="Arial"/>
          <w:color w:val="auto"/>
          <w:shd w:val="clear" w:color="auto" w:fill="FFFFFF"/>
        </w:rPr>
        <w:t>我单位</w:t>
      </w:r>
      <w:r>
        <w:rPr>
          <w:rFonts w:ascii="Arial" w:hAnsi="Arial" w:cs="Arial"/>
          <w:color w:val="auto"/>
          <w:shd w:val="clear" w:color="auto" w:fill="FFFFFF"/>
        </w:rPr>
        <w:t>以全面实施预算绩效管理为关键点和突破口，推动财政资金聚力增效，提高公共服务供给质量，增强政府公信力和执行力。</w:t>
      </w:r>
      <w:r>
        <w:rPr>
          <w:rFonts w:hint="eastAsia" w:ascii="Arial" w:hAnsi="Arial" w:cs="Arial"/>
          <w:color w:val="auto"/>
          <w:shd w:val="clear" w:color="auto" w:fill="FFFFFF"/>
        </w:rPr>
        <w:t>按照“预算花钱必问效”的原则，我单位持续对政府投资项目，尤其是获得</w:t>
      </w:r>
      <w:r>
        <w:rPr>
          <w:rFonts w:hint="eastAsia" w:ascii="Arial" w:hAnsi="Arial" w:cs="Arial"/>
          <w:color w:val="auto"/>
          <w:shd w:val="clear" w:color="auto" w:fill="FFFFFF"/>
          <w:lang w:eastAsia="zh-CN"/>
        </w:rPr>
        <w:t>专项债资金</w:t>
      </w:r>
      <w:r>
        <w:rPr>
          <w:rFonts w:hint="eastAsia" w:ascii="Arial" w:hAnsi="Arial" w:cs="Arial"/>
          <w:color w:val="auto"/>
          <w:shd w:val="clear" w:color="auto" w:fill="FFFFFF"/>
        </w:rPr>
        <w:t>的项目开展绩效自评工作，</w:t>
      </w:r>
      <w:r>
        <w:rPr>
          <w:rFonts w:ascii="Arial" w:hAnsi="Arial" w:cs="Arial"/>
          <w:color w:val="auto"/>
          <w:shd w:val="clear" w:color="auto" w:fill="FFFFFF"/>
        </w:rPr>
        <w:t>强化绩效目标管理，做好绩效运行监控，并开展绩效评价和结果应用</w:t>
      </w:r>
      <w:r>
        <w:rPr>
          <w:rFonts w:hint="eastAsia" w:ascii="Arial" w:hAnsi="Arial" w:cs="Arial"/>
          <w:color w:val="auto"/>
          <w:shd w:val="clear" w:color="auto" w:fill="FFFFFF"/>
        </w:rPr>
        <w:t>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六、其他需要说明的问题</w:t>
      </w:r>
    </w:p>
    <w:p>
      <w:pPr>
        <w:rPr>
          <w:color w:val="auto"/>
        </w:rPr>
      </w:pPr>
      <w:r>
        <w:rPr>
          <w:rFonts w:hint="eastAsia"/>
          <w:color w:val="auto"/>
        </w:rPr>
        <w:t>暂无。</w:t>
      </w:r>
    </w:p>
    <w:p>
      <w:pPr>
        <w:pStyle w:val="2"/>
        <w:ind w:firstLine="640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6436A"/>
    <w:multiLevelType w:val="singleLevel"/>
    <w:tmpl w:val="B826436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50"/>
  <w:drawingGridVerticalSpacing w:val="5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2"/>
    <w:rsid w:val="000101E1"/>
    <w:rsid w:val="00017298"/>
    <w:rsid w:val="00020084"/>
    <w:rsid w:val="000329D9"/>
    <w:rsid w:val="000732DA"/>
    <w:rsid w:val="00075CDC"/>
    <w:rsid w:val="000B1E8F"/>
    <w:rsid w:val="00103D16"/>
    <w:rsid w:val="00136702"/>
    <w:rsid w:val="0015455D"/>
    <w:rsid w:val="00164D84"/>
    <w:rsid w:val="001A074E"/>
    <w:rsid w:val="001D628A"/>
    <w:rsid w:val="00250053"/>
    <w:rsid w:val="00276CCC"/>
    <w:rsid w:val="00287C3C"/>
    <w:rsid w:val="00340729"/>
    <w:rsid w:val="00371982"/>
    <w:rsid w:val="0039432D"/>
    <w:rsid w:val="003C6374"/>
    <w:rsid w:val="00415F7C"/>
    <w:rsid w:val="004531B5"/>
    <w:rsid w:val="00503C12"/>
    <w:rsid w:val="00514DAF"/>
    <w:rsid w:val="00526C0B"/>
    <w:rsid w:val="00560E3E"/>
    <w:rsid w:val="006E12E4"/>
    <w:rsid w:val="00785AF7"/>
    <w:rsid w:val="007A1DC2"/>
    <w:rsid w:val="007D7C3B"/>
    <w:rsid w:val="007E5702"/>
    <w:rsid w:val="00865D06"/>
    <w:rsid w:val="008A20F2"/>
    <w:rsid w:val="008E0285"/>
    <w:rsid w:val="0091629A"/>
    <w:rsid w:val="00926D1C"/>
    <w:rsid w:val="00955EF5"/>
    <w:rsid w:val="009B3FF6"/>
    <w:rsid w:val="00AA2B82"/>
    <w:rsid w:val="00B13839"/>
    <w:rsid w:val="00B414D3"/>
    <w:rsid w:val="00B84D3A"/>
    <w:rsid w:val="00CC152C"/>
    <w:rsid w:val="00CE55E9"/>
    <w:rsid w:val="00D06962"/>
    <w:rsid w:val="00D200DC"/>
    <w:rsid w:val="00D22A4C"/>
    <w:rsid w:val="00D61B1A"/>
    <w:rsid w:val="00D63908"/>
    <w:rsid w:val="00DA687E"/>
    <w:rsid w:val="00DB429F"/>
    <w:rsid w:val="00DD09A2"/>
    <w:rsid w:val="00DD16E3"/>
    <w:rsid w:val="00DF57C5"/>
    <w:rsid w:val="00ED6D53"/>
    <w:rsid w:val="00F22AE2"/>
    <w:rsid w:val="00F437B4"/>
    <w:rsid w:val="00F57F82"/>
    <w:rsid w:val="00F75963"/>
    <w:rsid w:val="00FA357A"/>
    <w:rsid w:val="013B775D"/>
    <w:rsid w:val="015D27E2"/>
    <w:rsid w:val="020A78A2"/>
    <w:rsid w:val="02C86339"/>
    <w:rsid w:val="037D0BC8"/>
    <w:rsid w:val="04076DA7"/>
    <w:rsid w:val="06D011B1"/>
    <w:rsid w:val="0845082D"/>
    <w:rsid w:val="08816BD6"/>
    <w:rsid w:val="08BF6536"/>
    <w:rsid w:val="096A663E"/>
    <w:rsid w:val="09E965F2"/>
    <w:rsid w:val="0A4A3A37"/>
    <w:rsid w:val="0A87714B"/>
    <w:rsid w:val="0BDE544E"/>
    <w:rsid w:val="0CB65E03"/>
    <w:rsid w:val="0E4E75C3"/>
    <w:rsid w:val="0FFFAAC1"/>
    <w:rsid w:val="11D7196B"/>
    <w:rsid w:val="12CA3F9C"/>
    <w:rsid w:val="139667FD"/>
    <w:rsid w:val="139840D3"/>
    <w:rsid w:val="141C0DC6"/>
    <w:rsid w:val="143E091F"/>
    <w:rsid w:val="14865FC8"/>
    <w:rsid w:val="150C2DB0"/>
    <w:rsid w:val="15D52C35"/>
    <w:rsid w:val="15D952F1"/>
    <w:rsid w:val="17C05E32"/>
    <w:rsid w:val="18080EBA"/>
    <w:rsid w:val="18F83E24"/>
    <w:rsid w:val="19495D17"/>
    <w:rsid w:val="19B97E98"/>
    <w:rsid w:val="1A1A41EC"/>
    <w:rsid w:val="1B6B7436"/>
    <w:rsid w:val="1C925D2A"/>
    <w:rsid w:val="1CE94882"/>
    <w:rsid w:val="1E281ADA"/>
    <w:rsid w:val="1E761F05"/>
    <w:rsid w:val="1E84464E"/>
    <w:rsid w:val="1FC7205C"/>
    <w:rsid w:val="228B3D05"/>
    <w:rsid w:val="228B6277"/>
    <w:rsid w:val="25FE8923"/>
    <w:rsid w:val="286D5E37"/>
    <w:rsid w:val="29404AC0"/>
    <w:rsid w:val="2B5E6BAD"/>
    <w:rsid w:val="2CA67ADD"/>
    <w:rsid w:val="2D8B4B0D"/>
    <w:rsid w:val="2DEE0A92"/>
    <w:rsid w:val="2F6F4467"/>
    <w:rsid w:val="2FAD4FCA"/>
    <w:rsid w:val="32D317E2"/>
    <w:rsid w:val="33E86A4E"/>
    <w:rsid w:val="368D368C"/>
    <w:rsid w:val="38EF7AD8"/>
    <w:rsid w:val="3A0C0C54"/>
    <w:rsid w:val="3C5E2926"/>
    <w:rsid w:val="3C7019B2"/>
    <w:rsid w:val="3D7E7C9E"/>
    <w:rsid w:val="3DBBD6B4"/>
    <w:rsid w:val="3E1672E6"/>
    <w:rsid w:val="3EDC769D"/>
    <w:rsid w:val="407A6FC0"/>
    <w:rsid w:val="40FF6E01"/>
    <w:rsid w:val="415F08D8"/>
    <w:rsid w:val="41AE398F"/>
    <w:rsid w:val="42F07593"/>
    <w:rsid w:val="42FB617D"/>
    <w:rsid w:val="433B52D2"/>
    <w:rsid w:val="433F6C41"/>
    <w:rsid w:val="43690154"/>
    <w:rsid w:val="43E44F6F"/>
    <w:rsid w:val="441867FA"/>
    <w:rsid w:val="44C635B7"/>
    <w:rsid w:val="44E2230F"/>
    <w:rsid w:val="46F9107C"/>
    <w:rsid w:val="4881717A"/>
    <w:rsid w:val="48B51347"/>
    <w:rsid w:val="49272C79"/>
    <w:rsid w:val="4A1B2E89"/>
    <w:rsid w:val="4A55216A"/>
    <w:rsid w:val="4B0E65C7"/>
    <w:rsid w:val="4BFD2870"/>
    <w:rsid w:val="4C4F4283"/>
    <w:rsid w:val="4D4C56FF"/>
    <w:rsid w:val="4DC43E92"/>
    <w:rsid w:val="4FD82385"/>
    <w:rsid w:val="4FE0696A"/>
    <w:rsid w:val="50F76058"/>
    <w:rsid w:val="50FE6375"/>
    <w:rsid w:val="51FD19E1"/>
    <w:rsid w:val="525D7C5D"/>
    <w:rsid w:val="52E8138A"/>
    <w:rsid w:val="53773584"/>
    <w:rsid w:val="53A839EE"/>
    <w:rsid w:val="55673508"/>
    <w:rsid w:val="56D74F18"/>
    <w:rsid w:val="57FCC004"/>
    <w:rsid w:val="5932229B"/>
    <w:rsid w:val="59595A6F"/>
    <w:rsid w:val="599330CA"/>
    <w:rsid w:val="5B0D23FC"/>
    <w:rsid w:val="5DB076C2"/>
    <w:rsid w:val="5F76F0C1"/>
    <w:rsid w:val="600865E8"/>
    <w:rsid w:val="603B6C1D"/>
    <w:rsid w:val="60D5009F"/>
    <w:rsid w:val="6324384D"/>
    <w:rsid w:val="66024CD5"/>
    <w:rsid w:val="660721C9"/>
    <w:rsid w:val="661E6C75"/>
    <w:rsid w:val="67F75FF5"/>
    <w:rsid w:val="681D4831"/>
    <w:rsid w:val="692E4B19"/>
    <w:rsid w:val="69451A27"/>
    <w:rsid w:val="69513EF7"/>
    <w:rsid w:val="697D78BA"/>
    <w:rsid w:val="6AAF7917"/>
    <w:rsid w:val="6BF3256F"/>
    <w:rsid w:val="6CE7018A"/>
    <w:rsid w:val="6D08690D"/>
    <w:rsid w:val="6DA15568"/>
    <w:rsid w:val="6DCF3F80"/>
    <w:rsid w:val="6E3E3F2D"/>
    <w:rsid w:val="6EC93B62"/>
    <w:rsid w:val="715B2F02"/>
    <w:rsid w:val="727C03ED"/>
    <w:rsid w:val="748C1146"/>
    <w:rsid w:val="75A62CFF"/>
    <w:rsid w:val="765F6383"/>
    <w:rsid w:val="7699447B"/>
    <w:rsid w:val="76A548F2"/>
    <w:rsid w:val="7765772E"/>
    <w:rsid w:val="77867685"/>
    <w:rsid w:val="77F04540"/>
    <w:rsid w:val="781F36B6"/>
    <w:rsid w:val="78ED5A1E"/>
    <w:rsid w:val="790627AD"/>
    <w:rsid w:val="7ADC59FA"/>
    <w:rsid w:val="7BB71159"/>
    <w:rsid w:val="7CD836C4"/>
    <w:rsid w:val="7D6742C1"/>
    <w:rsid w:val="7D755762"/>
    <w:rsid w:val="7DBDD65E"/>
    <w:rsid w:val="7DDD794F"/>
    <w:rsid w:val="7E5A664C"/>
    <w:rsid w:val="7EF834F2"/>
    <w:rsid w:val="7FED9F9F"/>
    <w:rsid w:val="9FFF3766"/>
    <w:rsid w:val="B7F7950F"/>
    <w:rsid w:val="BECF1CFC"/>
    <w:rsid w:val="CADDA160"/>
    <w:rsid w:val="D7FBE5FA"/>
    <w:rsid w:val="DFDF27BD"/>
    <w:rsid w:val="F57B6F99"/>
    <w:rsid w:val="F7DFB8FF"/>
    <w:rsid w:val="FA7DCE76"/>
    <w:rsid w:val="FAEFC359"/>
    <w:rsid w:val="FB5ECFCA"/>
    <w:rsid w:val="FEAF114B"/>
    <w:rsid w:val="FEDC2866"/>
    <w:rsid w:val="FFC60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  <w:outlineLvl w:val="0"/>
    </w:pPr>
    <w:rPr>
      <w:rFonts w:ascii="仿宋_GB2312" w:hAnsi="Times New Roman" w:eastAsia="仿宋_GB2312" w:cs="Times New Roman"/>
      <w:kern w:val="2"/>
      <w:sz w:val="32"/>
      <w:szCs w:val="36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643"/>
    </w:pPr>
    <w:rPr>
      <w:rFonts w:ascii="黑体" w:hAnsi="黑体" w:eastAsia="黑体"/>
      <w:b/>
      <w:kern w:val="44"/>
      <w:szCs w:val="2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964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11">
    <w:name w:val="页脚 字符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字符"/>
    <w:basedOn w:val="10"/>
    <w:link w:val="5"/>
    <w:qFormat/>
    <w:uiPriority w:val="0"/>
    <w:rPr>
      <w:rFonts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/>
    </w:pPr>
  </w:style>
  <w:style w:type="character" w:customStyle="1" w:styleId="15">
    <w:name w:val="标题 字符"/>
    <w:basedOn w:val="10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</Words>
  <Characters>1027</Characters>
  <Lines>8</Lines>
  <Paragraphs>2</Paragraphs>
  <TotalTime>27</TotalTime>
  <ScaleCrop>false</ScaleCrop>
  <LinksUpToDate>false</LinksUpToDate>
  <CharactersWithSpaces>1205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2021-08-31T03:29:00Z</dcterms:created>
  <dc:creator>lhn</dc:creator>
  <cp:lastModifiedBy>Lenovo</cp:lastModifiedBy>
  <cp:lastPrinted>2020-02-29T13:55:00Z</cp:lastPrinted>
  <dcterms:modified xsi:type="dcterms:W3CDTF">2022-10-12T06:31:22Z</dcterms:modified>
  <dc:title>财政支出绩效评价报告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C6AF3BA91B0B4B5284F20A7904E9C498</vt:lpwstr>
  </property>
</Properties>
</file>