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临空经济区基础设施配套建设项目（二期）补征地项目属于部门项目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临空经济区基础设施配套建设项目（二期）补征地</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当年年度目标完成情况：含灵山旧改范围需征收96.01亩，已完成83.66亩土地征收。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资金总额-年初预算数11394534.64</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11395634.64</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单位年初预算数11394534.64元，单位全年预算数11395634.64</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资金总额-全年执行数1235721.8元，资金总额-执行率</w:t>
      </w:r>
      <w:r>
        <w:t>10.84%</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单位全年执行数1235721.8元，单位全年执行率</w:t>
      </w:r>
      <w:r>
        <w:t>10.84%</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临空经济区基础设施配套建设项目（二期）补征地</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本项目预算资金11,395,634.64 </w:t>
      </w:r>
      <w:r>
        <w:rPr>
          <w:rFonts w:hint="eastAsia" w:ascii="仿宋_GB2312" w:hAnsi="宋体" w:eastAsia="仿宋_GB2312" w:cs="仿宋_GB2312"/>
          <w:kern w:val="0"/>
          <w:sz w:val="31"/>
          <w:szCs w:val="31"/>
          <w:lang w:val="en-US" w:eastAsia="zh-CN" w:bidi="ar"/>
        </w:rPr>
        <w:t xml:space="preserve">元，实际使用金额1,235,721.80 </w:t>
      </w:r>
      <w:r>
        <w:rPr>
          <w:rFonts w:hint="eastAsia" w:ascii="仿宋_GB2312" w:hAnsi="宋体" w:eastAsia="仿宋_GB2312" w:cs="仿宋_GB2312"/>
          <w:kern w:val="0"/>
          <w:sz w:val="31"/>
          <w:szCs w:val="31"/>
          <w:lang w:val="en-US" w:eastAsia="zh-CN" w:bidi="ar"/>
        </w:rPr>
        <w:t>元，实际使用金额执行率10.84</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本项目预算资金11,395,634.64 元，实际使用金额1,235,721.80 元，占预算资金的10.84%。</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D257B"/>
    <w:multiLevelType w:val="singleLevel"/>
    <w:tmpl w:val="48CD257B"/>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14522E1A"/>
    <w:rsid w:val="14522E1A"/>
    <w:rsid w:val="6D782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1787</Words>
  <Characters>1929</Characters>
  <Lines>0</Lines>
  <Paragraphs>0</Paragraphs>
  <TotalTime>0</TotalTime>
  <ScaleCrop>false</ScaleCrop>
  <LinksUpToDate>false</LinksUpToDate>
  <CharactersWithSpaces>1949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2023-03-23T08:43:00Z</dcterms:created>
  <dc:creator>Administrator</dc:creator>
  <cp:lastModifiedBy>Administrator</cp:lastModifiedBy>
  <dcterms:modified xsi:type="dcterms:W3CDTF">2023-03-23T08:45:36Z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EFE67EC8DC3144B5BB19D48570C642AE</vt:lpwstr>
  </property>
</Properties>
</file>