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r>
        <w:rPr>
          <w:rFonts w:hint="eastAsia" w:ascii="黑体" w:hAnsi="宋体" w:eastAsia="黑体" w:cs="黑体"/>
          <w:kern w:val="0"/>
          <w:sz w:val="44"/>
          <w:szCs w:val="44"/>
        </w:rPr>
        <w:t>海口市美兰区疾病预防控制中心2021年度部门决算</w:t>
      </w:r>
    </w:p>
    <w:p>
      <w:pPr>
        <w:jc w:val="center"/>
        <w:rPr>
          <w:rFonts w:hint="eastAsia" w:ascii="黑体" w:hAnsi="宋体" w:eastAsia="黑体" w:cs="黑体"/>
          <w:kern w:val="0"/>
          <w:sz w:val="44"/>
          <w:szCs w:val="44"/>
          <w:lang w:val="en-US" w:eastAsia="zh-CN"/>
        </w:rPr>
      </w:pPr>
    </w:p>
    <w:p>
      <w:pPr>
        <w:jc w:val="center"/>
        <w:rPr>
          <w:rFonts w:hint="eastAsia" w:ascii="黑体" w:hAnsi="宋体" w:eastAsia="黑体" w:cs="黑体"/>
          <w:kern w:val="0"/>
          <w:sz w:val="44"/>
          <w:szCs w:val="44"/>
          <w:lang w:val="en-US" w:eastAsia="zh-CN"/>
        </w:rPr>
      </w:pPr>
      <w:r>
        <w:rPr>
          <w:rFonts w:hint="eastAsia" w:ascii="黑体" w:hAnsi="宋体" w:eastAsia="黑体" w:cs="黑体"/>
          <w:kern w:val="0"/>
          <w:sz w:val="44"/>
          <w:szCs w:val="44"/>
          <w:lang w:val="en-US" w:eastAsia="zh-CN"/>
        </w:rPr>
        <w:t>目  录</w:t>
      </w:r>
    </w:p>
    <w:sdt>
      <w:sdtPr>
        <w:rPr>
          <w:rFonts w:ascii="宋体" w:hAnsi="宋体" w:eastAsia="宋体" w:cstheme="minorBidi"/>
          <w:kern w:val="2"/>
          <w:sz w:val="21"/>
          <w:szCs w:val="24"/>
          <w:lang w:val="en-US" w:eastAsia="zh-CN" w:bidi="ar-SA"/>
        </w:rPr>
        <w:id w:val="147468604"/>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bookmarkStart w:id="72" w:name="_GoBack"/>
          <w:bookmarkEnd w:id="72"/>
        </w:p>
        <w:p>
          <w:pPr>
            <w:pStyle w:val="9"/>
            <w:tabs>
              <w:tab w:val="right" w:leader="dot" w:pos="8306"/>
            </w:tabs>
          </w:pPr>
          <w:r>
            <w:fldChar w:fldCharType="begin"/>
          </w:r>
          <w:r>
            <w:instrText xml:space="preserve">TOC \o "1-1" \h \u </w:instrText>
          </w:r>
          <w: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_Toc17894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第一部分  海口市美兰区疾病预防控制中心部门概况</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_Toc17894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_Toc23307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一、部门（单位）职责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_Toc23307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_Toc20554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_Toc20554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_Toc6707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第二部分  海口市美兰区疾病预防控制中心2021年度部门决算公开报表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_Toc6707 \h </w:instrText>
          </w:r>
          <w:r>
            <w:rPr>
              <w:rFonts w:hint="eastAsia" w:ascii="黑体" w:hAnsi="黑体" w:eastAsia="黑体" w:cs="黑体"/>
              <w:sz w:val="32"/>
              <w:szCs w:val="32"/>
            </w:rPr>
            <w:fldChar w:fldCharType="separate"/>
          </w:r>
          <w:r>
            <w:rPr>
              <w:rFonts w:hint="eastAsia" w:ascii="黑体" w:hAnsi="黑体"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_Toc10360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_Toc10360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_Toc16092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_Toc16092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_Toc26764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_Toc26764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_Toc21399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_Toc21399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_Toc3602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_Toc3602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_Toc18830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_Toc18830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_Toc27506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_Toc27506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_Toc24984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_Toc24984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_Toc4539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九、一般公共预算财政拨款“三公”经费支出决算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_Toc4539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_Toc22894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_Toc22894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_Toc129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十、政府性基金预算财政拨款“三公”经费支出决算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_Toc129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_Toc5233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_Toc5233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_Toc29208 </w:instrText>
          </w:r>
          <w:r>
            <w:rPr>
              <w:rFonts w:hint="eastAsia" w:ascii="仿宋" w:hAnsi="仿宋" w:eastAsia="仿宋" w:cs="仿宋"/>
              <w:sz w:val="32"/>
              <w:szCs w:val="32"/>
            </w:rPr>
            <w:fldChar w:fldCharType="separate"/>
          </w:r>
          <w:r>
            <w:rPr>
              <w:rFonts w:hint="eastAsia" w:ascii="仿宋" w:hAnsi="仿宋" w:eastAsia="仿宋" w:cs="仿宋"/>
              <w:kern w:val="0"/>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_Toc29208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_Toc11760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第三部分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海口市美兰区疾病预防控制中心2021年度部门决算情况说明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_Toc11760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_Toc22642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_Toc22642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_Toc27003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二、收入决算情况说明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_Toc27003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_Toc17570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三、支出决算情况说明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_Toc17570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_Toc2199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_Toc2199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_Toc31724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_Toc31724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_Toc26110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bidi="ar"/>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_Toc26110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_Toc5764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七、政府性基金预算财政拨款支出决算情况说明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_Toc5764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_Toc18420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八、</w:t>
          </w:r>
          <w:r>
            <w:rPr>
              <w:rFonts w:hint="eastAsia" w:ascii="仿宋" w:hAnsi="仿宋" w:eastAsia="仿宋" w:cs="仿宋"/>
              <w:bCs/>
              <w:kern w:val="0"/>
              <w:sz w:val="32"/>
              <w:szCs w:val="32"/>
            </w:rPr>
            <w:t>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_Toc18420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_Toc32013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rPr>
            <w:t>九、一般公共预算财政拨款“三公”经费支出决算情况说明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_Toc32013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_Toc2612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bidi="ar"/>
            </w:rPr>
            <w:t>十、政府性基金预算财政拨款“三公”经费支出决算情况说明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_Toc2612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_Toc860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bidi="ar"/>
            </w:rPr>
            <w:t>十一、国有资本经营预算财政拨款“三公”经费支出决算情况说明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_Toc1081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bidi="ar"/>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_Toc1081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_Toc4623 </w:instrText>
          </w:r>
          <w:r>
            <w:rPr>
              <w:rFonts w:hint="eastAsia" w:ascii="仿宋" w:hAnsi="仿宋" w:eastAsia="仿宋" w:cs="仿宋"/>
              <w:sz w:val="32"/>
              <w:szCs w:val="32"/>
            </w:rPr>
            <w:fldChar w:fldCharType="separate"/>
          </w:r>
          <w:r>
            <w:rPr>
              <w:rFonts w:hint="eastAsia" w:ascii="仿宋" w:hAnsi="仿宋" w:eastAsia="仿宋" w:cs="仿宋"/>
              <w:bCs/>
              <w:kern w:val="0"/>
              <w:sz w:val="32"/>
              <w:szCs w:val="32"/>
              <w:lang w:val="en-US" w:eastAsia="zh-CN" w:bidi="ar"/>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_Toc4623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_Toc30458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第四部分  名词解释</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_Toc30458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rPr>
              <w:rFonts w:hint="eastAsia" w:ascii="黑体" w:hAnsi="宋体" w:eastAsia="黑体" w:cs="黑体"/>
              <w:kern w:val="0"/>
              <w:sz w:val="32"/>
              <w:szCs w:val="32"/>
            </w:rPr>
          </w:pPr>
          <w:r>
            <w:fldChar w:fldCharType="end"/>
          </w:r>
          <w:bookmarkStart w:id="0" w:name="_Toc22332"/>
          <w:bookmarkStart w:id="1" w:name="_Toc17894"/>
        </w:p>
      </w:sdtContent>
    </w:sdt>
    <w:p>
      <w:pPr>
        <w:keepNext w:val="0"/>
        <w:keepLines w:val="0"/>
        <w:pageBreakBefore w:val="0"/>
        <w:widowControl/>
        <w:kinsoku/>
        <w:wordWrap/>
        <w:overflowPunct/>
        <w:topLinePunct w:val="0"/>
        <w:autoSpaceDE/>
        <w:autoSpaceDN/>
        <w:bidi w:val="0"/>
        <w:adjustRightInd/>
        <w:snapToGrid/>
        <w:spacing w:after="313" w:afterLines="100"/>
        <w:jc w:val="center"/>
        <w:textAlignment w:val="auto"/>
        <w:outlineLvl w:val="0"/>
        <w:rPr>
          <w:rFonts w:hint="eastAsia" w:ascii="黑体" w:hAnsi="宋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after="313" w:afterLines="100"/>
        <w:jc w:val="center"/>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海口市美兰区疾病预防控制中心部门概况</w:t>
      </w:r>
      <w:bookmarkEnd w:id="0"/>
      <w:bookmarkEnd w:id="1"/>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kern w:val="0"/>
          <w:sz w:val="32"/>
          <w:szCs w:val="32"/>
        </w:rPr>
      </w:pPr>
      <w:bookmarkStart w:id="2" w:name="_Toc3688"/>
      <w:bookmarkStart w:id="3" w:name="_Toc23307"/>
      <w:r>
        <w:rPr>
          <w:rFonts w:hint="eastAsia" w:ascii="黑体" w:hAnsi="宋体" w:eastAsia="黑体" w:cs="黑体"/>
          <w:kern w:val="0"/>
          <w:sz w:val="32"/>
          <w:szCs w:val="32"/>
        </w:rPr>
        <w:t>一、部门（单位）职责</w:t>
      </w:r>
      <w:bookmarkEnd w:id="2"/>
      <w:bookmarkEnd w:id="3"/>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美兰区疾病预防控制中心承担着美兰区9个街道、4个乡镇、1个农场、52个居委会、53个村委会共计71.9万人口的公共卫生、疾病预防控制等工作任务。主要为负责辖区疾病预防与控制的管理工作；负责辖区突发公共卫生事件的监测调查与信息收集、报告、落实控制措施；承担卫生行政部门委托的与卫生监督执法相关的检验检测任务，开展病原微生物常规检验检测和常见毒物、污染物的检验鉴定；负责疫情和公共卫生健康危害因素监测、报告、指导城乡和有关部门收集、报告疫情；指导辖区医疗卫生机构的乡镇卫生院开展卫生防病工作；负责考核、评价和对相关人员技术培训；开展卫生宣传教育与健康促进活动，普及卫生防病知识，为人民健康提供防疫保障。</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kern w:val="0"/>
          <w:sz w:val="32"/>
          <w:szCs w:val="32"/>
        </w:rPr>
      </w:pPr>
      <w:bookmarkStart w:id="4" w:name="_Toc32102"/>
      <w:bookmarkStart w:id="5" w:name="_Toc20554"/>
      <w:r>
        <w:rPr>
          <w:rFonts w:hint="eastAsia" w:ascii="黑体" w:hAnsi="宋体" w:eastAsia="黑体" w:cs="黑体"/>
          <w:kern w:val="0"/>
          <w:sz w:val="32"/>
          <w:szCs w:val="32"/>
        </w:rPr>
        <w:t>二、机构设置</w:t>
      </w:r>
      <w:bookmarkEnd w:id="4"/>
      <w:bookmarkEnd w:id="5"/>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9"/>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美兰区疾病预防控制中心的现在编制是30人。现有工作人员34人（在编职工29人，聘用工5人）。中心设有业务综合办公室（负责文秘、党务、人事、财务、后勤、卫生应急、信息管理、质量控制）5人；公共卫生科4人（负责食源性疾病、环境卫生、学校卫生、职业卫生）；急传科（负责传染病防控、结核病防控）4人；免疫规划科4人（负责一二类疫苗管理、疫苗相关疾病监测）；慢病科（含地方病寄生虫病防控、重性精神防控）5人；检验科（含理化和微生物、艾滋病初筛实验）4人；艾防科2人；病媒科1人；司勤人员1人。</w:t>
      </w:r>
    </w:p>
    <w:p>
      <w:pPr>
        <w:pStyle w:val="8"/>
        <w:keepNext w:val="0"/>
        <w:keepLines w:val="0"/>
        <w:pageBreakBefore w:val="0"/>
        <w:widowControl/>
        <w:numPr>
          <w:numId w:val="0"/>
        </w:numPr>
        <w:kinsoku/>
        <w:wordWrap/>
        <w:overflowPunct/>
        <w:topLinePunct w:val="0"/>
        <w:autoSpaceDE/>
        <w:autoSpaceDN/>
        <w:bidi w:val="0"/>
        <w:adjustRightInd/>
        <w:snapToGrid/>
        <w:ind w:left="641" w:leftChars="0" w:right="0" w:rightChars="0" w:firstLine="640" w:firstLineChars="200"/>
        <w:jc w:val="both"/>
        <w:textAlignment w:val="auto"/>
        <w:outlineLvl w:val="9"/>
        <w:rPr>
          <w:rFonts w:hint="eastAsia" w:ascii="仿宋" w:hAnsi="仿宋" w:eastAsia="仿宋" w:cs="仿宋"/>
          <w:kern w:val="0"/>
          <w:sz w:val="32"/>
          <w:szCs w:val="32"/>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宋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宋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宋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0"/>
        <w:rPr>
          <w:rFonts w:hint="eastAsia" w:ascii="黑体" w:hAnsi="宋体" w:eastAsia="黑体" w:cs="黑体"/>
          <w:kern w:val="0"/>
          <w:sz w:val="44"/>
          <w:szCs w:val="44"/>
        </w:rPr>
      </w:pPr>
      <w:bookmarkStart w:id="6" w:name="_Toc1368"/>
      <w:bookmarkStart w:id="7" w:name="_Toc6707"/>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海口市美兰区疾病预防控制中心2021年度部门决算公开报表</w:t>
      </w:r>
      <w:bookmarkEnd w:id="6"/>
      <w:bookmarkEnd w:id="7"/>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8" w:name="_Toc30579"/>
      <w:bookmarkStart w:id="9" w:name="_Toc10360"/>
      <w:r>
        <w:rPr>
          <w:rFonts w:hint="eastAsia" w:ascii="黑体" w:hAnsi="宋体" w:eastAsia="黑体" w:cs="黑体"/>
          <w:kern w:val="0"/>
          <w:sz w:val="32"/>
          <w:szCs w:val="32"/>
        </w:rPr>
        <w:t>一、收入支出决算公开表（见正文附件）。</w:t>
      </w:r>
      <w:bookmarkEnd w:id="8"/>
      <w:bookmarkEnd w:id="9"/>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10" w:name="_Toc10560"/>
      <w:bookmarkStart w:id="11" w:name="_Toc16092"/>
      <w:r>
        <w:rPr>
          <w:rFonts w:hint="eastAsia" w:ascii="黑体" w:hAnsi="宋体" w:eastAsia="黑体" w:cs="黑体"/>
          <w:kern w:val="0"/>
          <w:sz w:val="32"/>
          <w:szCs w:val="32"/>
        </w:rPr>
        <w:t>二、收入决算公开表（见正文附件）。</w:t>
      </w:r>
      <w:bookmarkEnd w:id="10"/>
      <w:bookmarkEnd w:id="11"/>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12" w:name="_Toc18864"/>
      <w:bookmarkStart w:id="13" w:name="_Toc26764"/>
      <w:r>
        <w:rPr>
          <w:rFonts w:hint="eastAsia" w:ascii="黑体" w:hAnsi="宋体" w:eastAsia="黑体" w:cs="黑体"/>
          <w:kern w:val="0"/>
          <w:sz w:val="32"/>
          <w:szCs w:val="32"/>
        </w:rPr>
        <w:t>三、支出决算公开表（见正文附件）。</w:t>
      </w:r>
      <w:bookmarkEnd w:id="12"/>
      <w:bookmarkEnd w:id="13"/>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14" w:name="_Toc7244"/>
      <w:bookmarkStart w:id="15" w:name="_Toc21399"/>
      <w:r>
        <w:rPr>
          <w:rFonts w:hint="eastAsia" w:ascii="黑体" w:hAnsi="宋体" w:eastAsia="黑体" w:cs="黑体"/>
          <w:kern w:val="0"/>
          <w:sz w:val="32"/>
          <w:szCs w:val="32"/>
        </w:rPr>
        <w:t>四、财政拨款收入支出决算公开表（见正文附件）。</w:t>
      </w:r>
      <w:bookmarkEnd w:id="14"/>
      <w:bookmarkEnd w:id="15"/>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16" w:name="_Toc18530"/>
      <w:bookmarkStart w:id="17" w:name="_Toc3602"/>
      <w:r>
        <w:rPr>
          <w:rFonts w:hint="eastAsia" w:ascii="黑体" w:hAnsi="宋体" w:eastAsia="黑体" w:cs="黑体"/>
          <w:kern w:val="0"/>
          <w:sz w:val="32"/>
          <w:szCs w:val="32"/>
        </w:rPr>
        <w:t>五、一般公共预算财政拨款收入支出决算公开表</w:t>
      </w:r>
      <w:bookmarkEnd w:id="16"/>
      <w:bookmarkEnd w:id="17"/>
    </w:p>
    <w:p>
      <w:pPr>
        <w:keepNext w:val="0"/>
        <w:keepLines w:val="0"/>
        <w:pageBreakBefore w:val="0"/>
        <w:widowControl w:val="0"/>
        <w:kinsoku/>
        <w:wordWrap/>
        <w:overflowPunct/>
        <w:topLinePunct w:val="0"/>
        <w:autoSpaceDE/>
        <w:autoSpaceDN/>
        <w:bidi w:val="0"/>
        <w:adjustRightInd/>
        <w:snapToGrid/>
        <w:ind w:left="0" w:firstLine="1302" w:firstLineChars="407"/>
        <w:textAlignment w:val="auto"/>
        <w:outlineLvl w:val="0"/>
        <w:rPr>
          <w:rFonts w:hint="eastAsia" w:ascii="黑体" w:hAnsi="宋体" w:eastAsia="黑体" w:cs="黑体"/>
          <w:kern w:val="0"/>
          <w:sz w:val="32"/>
          <w:szCs w:val="32"/>
        </w:rPr>
      </w:pPr>
      <w:bookmarkStart w:id="18" w:name="_Toc22863"/>
      <w:bookmarkStart w:id="19" w:name="_Toc4095"/>
      <w:r>
        <w:rPr>
          <w:rFonts w:hint="eastAsia" w:ascii="黑体" w:hAnsi="宋体" w:eastAsia="黑体" w:cs="黑体"/>
          <w:kern w:val="0"/>
          <w:sz w:val="32"/>
          <w:szCs w:val="32"/>
        </w:rPr>
        <w:t>（见正文附件）。</w:t>
      </w:r>
      <w:bookmarkEnd w:id="18"/>
      <w:bookmarkEnd w:id="19"/>
    </w:p>
    <w:p>
      <w:pPr>
        <w:keepNext w:val="0"/>
        <w:keepLines w:val="0"/>
        <w:pageBreakBefore w:val="0"/>
        <w:widowControl w:val="0"/>
        <w:kinsoku/>
        <w:wordWrap/>
        <w:overflowPunct/>
        <w:topLinePunct w:val="0"/>
        <w:autoSpaceDE/>
        <w:autoSpaceDN/>
        <w:bidi w:val="0"/>
        <w:adjustRightInd/>
        <w:snapToGrid/>
        <w:ind w:left="0" w:firstLine="645"/>
        <w:textAlignment w:val="auto"/>
        <w:outlineLvl w:val="0"/>
        <w:rPr>
          <w:rFonts w:hint="eastAsia" w:ascii="黑体" w:hAnsi="宋体" w:eastAsia="黑体" w:cs="黑体"/>
          <w:kern w:val="0"/>
          <w:sz w:val="32"/>
          <w:szCs w:val="32"/>
        </w:rPr>
      </w:pPr>
      <w:bookmarkStart w:id="20" w:name="_Toc9263"/>
      <w:bookmarkStart w:id="21" w:name="_Toc18830"/>
      <w:r>
        <w:rPr>
          <w:rFonts w:hint="eastAsia" w:ascii="黑体" w:hAnsi="宋体" w:eastAsia="黑体" w:cs="黑体"/>
          <w:kern w:val="0"/>
          <w:sz w:val="32"/>
          <w:szCs w:val="32"/>
        </w:rPr>
        <w:t>六、一般公共预算财政拨款基本支出决算公开表</w:t>
      </w:r>
      <w:bookmarkEnd w:id="20"/>
      <w:bookmarkEnd w:id="21"/>
    </w:p>
    <w:p>
      <w:pPr>
        <w:keepNext w:val="0"/>
        <w:keepLines w:val="0"/>
        <w:pageBreakBefore w:val="0"/>
        <w:widowControl w:val="0"/>
        <w:kinsoku/>
        <w:wordWrap/>
        <w:overflowPunct/>
        <w:topLinePunct w:val="0"/>
        <w:autoSpaceDE/>
        <w:autoSpaceDN/>
        <w:bidi w:val="0"/>
        <w:adjustRightInd/>
        <w:snapToGrid/>
        <w:ind w:left="0" w:firstLine="1280" w:firstLineChars="400"/>
        <w:textAlignment w:val="auto"/>
        <w:outlineLvl w:val="0"/>
        <w:rPr>
          <w:rFonts w:hint="eastAsia" w:ascii="黑体" w:hAnsi="宋体" w:eastAsia="黑体" w:cs="黑体"/>
          <w:kern w:val="0"/>
          <w:sz w:val="32"/>
          <w:szCs w:val="32"/>
        </w:rPr>
      </w:pPr>
      <w:bookmarkStart w:id="22" w:name="_Toc21257"/>
      <w:bookmarkStart w:id="23" w:name="_Toc9358"/>
      <w:r>
        <w:rPr>
          <w:rFonts w:hint="eastAsia" w:ascii="黑体" w:hAnsi="宋体" w:eastAsia="黑体" w:cs="黑体"/>
          <w:kern w:val="0"/>
          <w:sz w:val="32"/>
          <w:szCs w:val="32"/>
        </w:rPr>
        <w:t>（见正文附件）。</w:t>
      </w:r>
      <w:bookmarkEnd w:id="22"/>
      <w:bookmarkEnd w:id="23"/>
    </w:p>
    <w:p>
      <w:pPr>
        <w:keepNext w:val="0"/>
        <w:keepLines w:val="0"/>
        <w:pageBreakBefore w:val="0"/>
        <w:widowControl w:val="0"/>
        <w:kinsoku/>
        <w:wordWrap/>
        <w:overflowPunct/>
        <w:topLinePunct w:val="0"/>
        <w:autoSpaceDE/>
        <w:autoSpaceDN/>
        <w:bidi w:val="0"/>
        <w:adjustRightInd/>
        <w:snapToGrid/>
        <w:ind w:left="1118" w:leftChars="304" w:hanging="480" w:hangingChars="150"/>
        <w:textAlignment w:val="auto"/>
        <w:outlineLvl w:val="0"/>
        <w:rPr>
          <w:rFonts w:hint="eastAsia" w:ascii="黑体" w:hAnsi="宋体" w:eastAsia="黑体" w:cs="黑体"/>
          <w:kern w:val="0"/>
          <w:sz w:val="32"/>
          <w:szCs w:val="32"/>
        </w:rPr>
      </w:pPr>
      <w:bookmarkStart w:id="24" w:name="_Toc16060"/>
      <w:bookmarkStart w:id="25" w:name="_Toc27506"/>
      <w:r>
        <w:rPr>
          <w:rFonts w:hint="eastAsia" w:ascii="黑体" w:hAnsi="宋体" w:eastAsia="黑体" w:cs="黑体"/>
          <w:kern w:val="0"/>
          <w:sz w:val="32"/>
          <w:szCs w:val="32"/>
        </w:rPr>
        <w:t>七、政府性基金预算财政拨款收入支出决算公开表</w:t>
      </w:r>
      <w:bookmarkEnd w:id="24"/>
      <w:bookmarkEnd w:id="25"/>
    </w:p>
    <w:p>
      <w:pPr>
        <w:keepNext w:val="0"/>
        <w:keepLines w:val="0"/>
        <w:pageBreakBefore w:val="0"/>
        <w:widowControl w:val="0"/>
        <w:kinsoku/>
        <w:wordWrap/>
        <w:overflowPunct/>
        <w:topLinePunct w:val="0"/>
        <w:autoSpaceDE/>
        <w:autoSpaceDN/>
        <w:bidi w:val="0"/>
        <w:adjustRightInd/>
        <w:snapToGrid/>
        <w:ind w:left="1277" w:leftChars="608" w:firstLine="160" w:firstLineChars="50"/>
        <w:textAlignment w:val="auto"/>
        <w:outlineLvl w:val="0"/>
        <w:rPr>
          <w:rFonts w:hint="eastAsia" w:ascii="黑体" w:hAnsi="宋体" w:eastAsia="黑体" w:cs="黑体"/>
          <w:kern w:val="0"/>
          <w:sz w:val="32"/>
          <w:szCs w:val="32"/>
        </w:rPr>
      </w:pPr>
      <w:bookmarkStart w:id="26" w:name="_Toc24268"/>
      <w:bookmarkStart w:id="27" w:name="_Toc589"/>
      <w:r>
        <w:rPr>
          <w:rFonts w:hint="eastAsia" w:ascii="黑体" w:hAnsi="宋体" w:eastAsia="黑体" w:cs="黑体"/>
          <w:kern w:val="0"/>
          <w:sz w:val="32"/>
          <w:szCs w:val="32"/>
        </w:rPr>
        <w:t>（见正文附件）。</w:t>
      </w:r>
      <w:bookmarkEnd w:id="26"/>
      <w:bookmarkEnd w:id="27"/>
    </w:p>
    <w:p>
      <w:pPr>
        <w:keepNext w:val="0"/>
        <w:keepLines w:val="0"/>
        <w:pageBreakBefore w:val="0"/>
        <w:widowControl w:val="0"/>
        <w:kinsoku/>
        <w:wordWrap/>
        <w:overflowPunct/>
        <w:topLinePunct w:val="0"/>
        <w:autoSpaceDE/>
        <w:autoSpaceDN/>
        <w:bidi w:val="0"/>
        <w:adjustRightInd/>
        <w:snapToGrid/>
        <w:ind w:left="1118" w:leftChars="304" w:hanging="480" w:hangingChars="150"/>
        <w:textAlignment w:val="auto"/>
        <w:outlineLvl w:val="0"/>
        <w:rPr>
          <w:rFonts w:hint="eastAsia" w:ascii="黑体" w:hAnsi="宋体" w:eastAsia="黑体" w:cs="黑体"/>
          <w:kern w:val="0"/>
          <w:sz w:val="32"/>
          <w:szCs w:val="32"/>
        </w:rPr>
      </w:pPr>
      <w:bookmarkStart w:id="28" w:name="_Toc12625"/>
      <w:bookmarkStart w:id="29" w:name="_Toc24984"/>
      <w:r>
        <w:rPr>
          <w:rFonts w:hint="eastAsia" w:ascii="黑体" w:hAnsi="宋体" w:eastAsia="黑体" w:cs="黑体"/>
          <w:kern w:val="0"/>
          <w:sz w:val="32"/>
          <w:szCs w:val="32"/>
        </w:rPr>
        <w:t>八、国有资本经营预算财政拨款收入支出决算公开表</w:t>
      </w:r>
      <w:bookmarkEnd w:id="28"/>
      <w:bookmarkEnd w:id="29"/>
    </w:p>
    <w:p>
      <w:pPr>
        <w:keepNext w:val="0"/>
        <w:keepLines w:val="0"/>
        <w:pageBreakBefore w:val="0"/>
        <w:widowControl w:val="0"/>
        <w:kinsoku/>
        <w:wordWrap/>
        <w:overflowPunct/>
        <w:topLinePunct w:val="0"/>
        <w:autoSpaceDE/>
        <w:autoSpaceDN/>
        <w:bidi w:val="0"/>
        <w:adjustRightInd/>
        <w:snapToGrid/>
        <w:ind w:left="1277" w:leftChars="608" w:firstLine="160" w:firstLineChars="50"/>
        <w:textAlignment w:val="auto"/>
        <w:outlineLvl w:val="0"/>
        <w:rPr>
          <w:rFonts w:hint="eastAsia" w:ascii="黑体" w:hAnsi="宋体" w:eastAsia="黑体" w:cs="黑体"/>
          <w:kern w:val="0"/>
          <w:sz w:val="32"/>
          <w:szCs w:val="32"/>
        </w:rPr>
      </w:pPr>
      <w:bookmarkStart w:id="30" w:name="_Toc19732"/>
      <w:bookmarkStart w:id="31" w:name="_Toc25811"/>
      <w:r>
        <w:rPr>
          <w:rFonts w:hint="eastAsia" w:ascii="黑体" w:hAnsi="宋体" w:eastAsia="黑体" w:cs="黑体"/>
          <w:kern w:val="0"/>
          <w:sz w:val="32"/>
          <w:szCs w:val="32"/>
        </w:rPr>
        <w:t>（见正文附件）。</w:t>
      </w:r>
      <w:bookmarkEnd w:id="30"/>
      <w:bookmarkEnd w:id="31"/>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32" w:name="_Toc32128"/>
      <w:bookmarkStart w:id="33" w:name="_Toc4539"/>
      <w:r>
        <w:rPr>
          <w:rFonts w:hint="eastAsia" w:ascii="黑体" w:hAnsi="宋体" w:eastAsia="黑体" w:cs="黑体"/>
          <w:kern w:val="0"/>
          <w:sz w:val="32"/>
          <w:szCs w:val="32"/>
        </w:rPr>
        <w:t>九、一般公共预算财政拨款“三公”经费支出决算</w:t>
      </w:r>
      <w:bookmarkEnd w:id="32"/>
      <w:bookmarkEnd w:id="3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34" w:name="_Toc26638"/>
      <w:bookmarkStart w:id="35" w:name="_Toc22894"/>
      <w:r>
        <w:rPr>
          <w:rFonts w:hint="eastAsia" w:ascii="黑体" w:hAnsi="宋体" w:eastAsia="黑体" w:cs="黑体"/>
          <w:kern w:val="0"/>
          <w:sz w:val="32"/>
          <w:szCs w:val="32"/>
        </w:rPr>
        <w:t>公开表（见正文附件）。</w:t>
      </w:r>
      <w:bookmarkEnd w:id="34"/>
      <w:bookmarkEnd w:id="3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36" w:name="_Toc24610"/>
      <w:bookmarkStart w:id="37" w:name="_Toc129"/>
      <w:r>
        <w:rPr>
          <w:rFonts w:hint="eastAsia" w:ascii="黑体" w:hAnsi="宋体" w:eastAsia="黑体" w:cs="黑体"/>
          <w:kern w:val="0"/>
          <w:sz w:val="32"/>
          <w:szCs w:val="32"/>
        </w:rPr>
        <w:t>十、政府性基金预算财政拨款“三公”经费支出决算</w:t>
      </w:r>
      <w:bookmarkEnd w:id="36"/>
      <w:bookmarkEnd w:id="37"/>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38" w:name="_Toc3872"/>
      <w:bookmarkStart w:id="39" w:name="_Toc5233"/>
      <w:r>
        <w:rPr>
          <w:rFonts w:hint="eastAsia" w:ascii="黑体" w:hAnsi="宋体" w:eastAsia="黑体" w:cs="黑体"/>
          <w:kern w:val="0"/>
          <w:sz w:val="32"/>
          <w:szCs w:val="32"/>
        </w:rPr>
        <w:t>公开表（见正文附件）。</w:t>
      </w:r>
      <w:bookmarkEnd w:id="38"/>
      <w:bookmarkEnd w:id="39"/>
    </w:p>
    <w:p>
      <w:pPr>
        <w:keepNext w:val="0"/>
        <w:keepLines w:val="0"/>
        <w:pageBreakBefore w:val="0"/>
        <w:widowControl w:val="0"/>
        <w:kinsoku/>
        <w:wordWrap/>
        <w:overflowPunct/>
        <w:topLinePunct w:val="0"/>
        <w:autoSpaceDE/>
        <w:autoSpaceDN/>
        <w:bidi w:val="0"/>
        <w:adjustRightInd/>
        <w:snapToGrid/>
        <w:ind w:left="1600" w:hanging="1600" w:hangingChars="500"/>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40" w:name="_Toc16681"/>
      <w:bookmarkStart w:id="41" w:name="_Toc29208"/>
      <w:r>
        <w:rPr>
          <w:rFonts w:hint="eastAsia" w:ascii="黑体" w:hAnsi="宋体" w:eastAsia="黑体" w:cs="黑体"/>
          <w:kern w:val="0"/>
          <w:sz w:val="32"/>
          <w:szCs w:val="32"/>
        </w:rPr>
        <w:t>十一、国有资本经营预算财政拨款“三公”经费支出决算公开表（见正文附件）。</w:t>
      </w:r>
      <w:bookmarkEnd w:id="40"/>
      <w:bookmarkEnd w:id="41"/>
    </w:p>
    <w:p>
      <w:pPr>
        <w:jc w:val="center"/>
        <w:outlineLvl w:val="9"/>
        <w:rPr>
          <w:rFonts w:hint="eastAsia" w:ascii="黑体" w:hAnsi="宋体" w:eastAsia="黑体" w:cs="黑体"/>
          <w:kern w:val="0"/>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宋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0"/>
        <w:rPr>
          <w:rFonts w:hint="eastAsia" w:ascii="黑体" w:hAnsi="宋体" w:eastAsia="黑体" w:cs="黑体"/>
          <w:kern w:val="0"/>
          <w:sz w:val="44"/>
          <w:szCs w:val="44"/>
        </w:rPr>
      </w:pPr>
      <w:bookmarkStart w:id="42" w:name="_Toc8178"/>
      <w:bookmarkStart w:id="43" w:name="_Toc11760"/>
      <w:r>
        <w:rPr>
          <w:rFonts w:hint="eastAsia" w:ascii="黑体" w:hAnsi="宋体" w:eastAsia="黑体" w:cs="黑体"/>
          <w:kern w:val="0"/>
          <w:sz w:val="32"/>
          <w:szCs w:val="32"/>
        </w:rPr>
        <w:t>第三部分</w:t>
      </w:r>
      <w:r>
        <w:rPr>
          <w:rFonts w:hint="eastAsia" w:ascii="黑体" w:hAnsi="宋体" w:eastAsia="黑体" w:cs="黑体"/>
          <w:kern w:val="0"/>
          <w:sz w:val="32"/>
          <w:szCs w:val="32"/>
          <w:lang w:val="en-US" w:eastAsia="zh-CN"/>
        </w:rPr>
        <w:t xml:space="preserve">  </w:t>
      </w:r>
      <w:r>
        <w:rPr>
          <w:rFonts w:hint="eastAsia" w:ascii="黑体" w:hAnsi="宋体" w:eastAsia="黑体" w:cs="黑体"/>
          <w:kern w:val="0"/>
          <w:sz w:val="32"/>
          <w:szCs w:val="32"/>
        </w:rPr>
        <w:t>海口市美兰区疾病预防控制中心2021年度部门决算情况说明</w:t>
      </w:r>
      <w:bookmarkEnd w:id="42"/>
      <w:bookmarkEnd w:id="43"/>
    </w:p>
    <w:p>
      <w:pPr>
        <w:keepNext w:val="0"/>
        <w:keepLines w:val="0"/>
        <w:pageBreakBefore w:val="0"/>
        <w:widowControl w:val="0"/>
        <w:kinsoku/>
        <w:wordWrap/>
        <w:overflowPunct/>
        <w:topLinePunct w:val="0"/>
        <w:autoSpaceDE/>
        <w:autoSpaceDN/>
        <w:bidi w:val="0"/>
        <w:adjustRightInd/>
        <w:snapToGrid/>
        <w:jc w:val="left"/>
        <w:textAlignment w:val="auto"/>
        <w:outlineLvl w:val="0"/>
        <w:rPr>
          <w:rFonts w:hint="eastAsia" w:ascii="黑体" w:hAnsi="宋体" w:eastAsia="黑体" w:cs="黑体"/>
          <w:kern w:val="0"/>
          <w:sz w:val="44"/>
          <w:szCs w:val="44"/>
        </w:rPr>
      </w:pPr>
      <w:bookmarkStart w:id="44" w:name="_Toc20250"/>
      <w:bookmarkStart w:id="45" w:name="_Toc22642"/>
      <w:r>
        <w:rPr>
          <w:rFonts w:hint="eastAsia" w:ascii="黑体" w:hAnsi="宋体" w:eastAsia="黑体" w:cs="黑体"/>
          <w:bCs/>
          <w:kern w:val="0"/>
          <w:sz w:val="32"/>
          <w:szCs w:val="32"/>
        </w:rPr>
        <w:t>一、收入支出决算总体情况说明</w:t>
      </w:r>
      <w:bookmarkEnd w:id="44"/>
      <w:bookmarkEnd w:id="4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2021年度收入总计900.34万元，支出总计900.34万元，与2020年度相比，收入、支出总计各减少216.41万元，下降19.38%。主要原因：一是年初预算人员经费、工作项目经费减少；二是上年结余结转经费减少。使用非财政拨款结余0.00万元，较2020年度决算数减少2.19万元，主要原因是银行存款利息收入支付水电费、手续费、税费等减少。年初结转结余57.39万元，主要是1.中央、省市级基本公共卫生资金及重大公共卫生资金下达缓慢。2.部分项目需要延续跨年度完成。较2020年度决算数增加37.63万元，增长190.44%，主要原因是1.每年度下达工作项目有差异，故资金有变动。2.新冠疫情防控经费增加。结余分配1.83万元，主要是银行存款利息收入支付水电费、手续费、税费等，较2020年度决算数增加1.83万元，增长100%，主要原因是银行存款利息收入增加。年末结转结余0.00万元，主要是年末中央、省市级基本公共卫生资金及重大公共卫生资金收入与支出持平，较2020年度决算数减少99.53万元，下降100%，主要原因是年末中央、省市级基本公共卫生资金及重大公共卫生资金收入与支出持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rPr>
      </w:pPr>
      <w:bookmarkStart w:id="46" w:name="_Toc8332"/>
      <w:bookmarkStart w:id="47" w:name="_Toc27003"/>
      <w:r>
        <w:rPr>
          <w:rFonts w:hint="eastAsia" w:ascii="黑体" w:hAnsi="宋体" w:eastAsia="黑体" w:cs="黑体"/>
          <w:bCs/>
          <w:kern w:val="0"/>
          <w:sz w:val="32"/>
          <w:szCs w:val="32"/>
          <w:lang w:val="en-US" w:eastAsia="zh-CN"/>
        </w:rPr>
        <w:t>二、收入决算情况说明</w:t>
      </w:r>
      <w:bookmarkEnd w:id="46"/>
      <w:bookmarkEnd w:id="4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本年收入合计842.95万元，其中：财政拨款收入841.07万元，占99.99%；其他收入1.88万元，占0.01%。</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rPr>
      </w:pPr>
      <w:bookmarkStart w:id="48" w:name="_Toc2854"/>
      <w:bookmarkStart w:id="49" w:name="_Toc17570"/>
      <w:r>
        <w:rPr>
          <w:rFonts w:hint="eastAsia" w:ascii="黑体" w:hAnsi="宋体" w:eastAsia="黑体" w:cs="黑体"/>
          <w:bCs/>
          <w:kern w:val="0"/>
          <w:sz w:val="32"/>
          <w:szCs w:val="32"/>
          <w:lang w:val="en-US" w:eastAsia="zh-CN"/>
        </w:rPr>
        <w:t>三、支出决算情况说明</w:t>
      </w:r>
      <w:bookmarkEnd w:id="48"/>
      <w:bookmarkEnd w:id="4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本年支出合计898.51万元，其中：基本支出516.92万元，占58%；项目支出381.59万元，占42%。</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仿宋_GB2312" w:hAnsi="ˎ̥" w:eastAsia="仿宋_GB2312" w:cs="仿宋_GB2312"/>
          <w:kern w:val="0"/>
          <w:sz w:val="32"/>
          <w:szCs w:val="32"/>
          <w:lang w:val="en-US" w:eastAsia="zh-CN" w:bidi="ar"/>
        </w:rPr>
      </w:pPr>
      <w:bookmarkStart w:id="50" w:name="_Toc31613"/>
      <w:bookmarkStart w:id="51" w:name="_Toc2199"/>
      <w:r>
        <w:rPr>
          <w:rFonts w:hint="eastAsia" w:ascii="黑体" w:hAnsi="宋体" w:eastAsia="黑体" w:cs="黑体"/>
          <w:bCs/>
          <w:kern w:val="0"/>
          <w:sz w:val="32"/>
          <w:szCs w:val="32"/>
          <w:lang w:val="en-US" w:eastAsia="zh-CN"/>
        </w:rPr>
        <w:t>四、财政拨款收入支出决算总体情况说明</w:t>
      </w:r>
      <w:bookmarkEnd w:id="50"/>
      <w:bookmarkEnd w:id="5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2021年度财政拨款收入总计898.46万元，支出总计898.46万元。与2020年度相比，财政拨款收入、支出总计各减少214.94万元，下降19.3%。主要原因：一是年初预算人员经费、工作项目经费减少；二是每年度下达工作项目有差异，故资金有变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财政拨款年初结转结余57.39万元，主要是1.中央、省市级基本公共卫生资金及重大公共卫生资金下达缓慢，2.部分项目需要延续跨年度完成。较2020年度决算数增加37.63万元，增长190.44%，主要原因是1.每年度下达工作项目有差异，故资金有变动。2.新冠疫情防控经费增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财政拨款年末结转结余0.00万元，主要是年末中央、省市级基本公共卫生资金及重大公共卫生资金收入与支出持平，较2020年度年末决算数减少99.53万元，下降100%，主要原因是年末中央、省市级基本公共卫生资金及重大公共卫生资金收入与支出持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仿宋_GB2312" w:hAnsi="ˎ̥" w:eastAsia="仿宋_GB2312" w:cs="仿宋_GB2312"/>
          <w:kern w:val="0"/>
          <w:sz w:val="32"/>
          <w:szCs w:val="32"/>
          <w:lang w:val="en-US" w:eastAsia="zh-CN" w:bidi="ar"/>
        </w:rPr>
      </w:pPr>
      <w:bookmarkStart w:id="52" w:name="_Toc29497"/>
      <w:bookmarkStart w:id="53" w:name="_Toc31724"/>
      <w:r>
        <w:rPr>
          <w:rFonts w:hint="eastAsia" w:ascii="黑体" w:hAnsi="宋体" w:eastAsia="黑体" w:cs="黑体"/>
          <w:bCs/>
          <w:kern w:val="0"/>
          <w:sz w:val="32"/>
          <w:szCs w:val="32"/>
          <w:lang w:val="en-US" w:eastAsia="zh-CN"/>
        </w:rPr>
        <w:t>五</w:t>
      </w:r>
      <w:r>
        <w:rPr>
          <w:rFonts w:hint="eastAsia" w:ascii="黑体" w:hAnsi="宋体" w:eastAsia="黑体" w:cs="黑体"/>
          <w:bCs/>
          <w:kern w:val="0"/>
          <w:sz w:val="32"/>
          <w:szCs w:val="32"/>
          <w:lang w:val="en-US" w:eastAsia="zh-CN"/>
        </w:rPr>
        <w:t>、一般公共预算财政拨款支出决算情况说明</w:t>
      </w:r>
      <w:bookmarkEnd w:id="52"/>
      <w:bookmarkEnd w:id="53"/>
    </w:p>
    <w:p>
      <w:pPr>
        <w:jc w:val="center"/>
        <w:rPr>
          <w:rFonts w:hint="eastAsia" w:ascii="楷体" w:hAnsi="楷体" w:eastAsia="楷体" w:cs="楷体"/>
          <w:kern w:val="0"/>
          <w:sz w:val="44"/>
          <w:szCs w:val="44"/>
        </w:rPr>
      </w:pPr>
      <w:r>
        <w:rPr>
          <w:rFonts w:hint="eastAsia" w:ascii="楷体" w:hAnsi="楷体" w:eastAsia="楷体" w:cs="楷体"/>
          <w:kern w:val="0"/>
          <w:sz w:val="32"/>
          <w:szCs w:val="32"/>
          <w:lang w:val="en-US" w:eastAsia="zh-CN" w:bidi="ar"/>
        </w:rPr>
        <w:t>（一）一般公共预算财政拨款支出决算总体情况。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2021年度一般公共预算财政拨款支出898.46万元，占本年支出合计的99.99%。与2020年度相比，一般公共预算财政拨款支出减少115.41万元，下降11.38%，主要原因是1.一般公共预算财政拨款收入减少；2.受疫情影响各项工作开展滞后。</w:t>
      </w:r>
    </w:p>
    <w:p>
      <w:pPr>
        <w:jc w:val="center"/>
        <w:rPr>
          <w:rFonts w:hint="default" w:ascii="楷体" w:hAnsi="楷体" w:eastAsia="楷体" w:cs="楷体"/>
          <w:kern w:val="0"/>
          <w:sz w:val="32"/>
          <w:szCs w:val="32"/>
          <w:lang w:val="en-US" w:eastAsia="zh-CN" w:bidi="ar"/>
        </w:rPr>
      </w:pPr>
      <w:r>
        <w:rPr>
          <w:rFonts w:hint="default" w:ascii="楷体" w:hAnsi="楷体" w:eastAsia="楷体" w:cs="楷体"/>
          <w:kern w:val="0"/>
          <w:sz w:val="32"/>
          <w:szCs w:val="32"/>
          <w:lang w:val="en-US" w:eastAsia="zh-CN" w:bidi="ar"/>
        </w:rPr>
        <w:t>（二）一般公共预算财政拨款支出决算结构情况。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2021年度一般公共预算财政拨款支出898.46万元，主要用于以下方面：社会保障和就业（类）支出43.5万元，占4.84%；卫生健康支出821.69万元，占91.45%；农林水支出0.15万元，占0.02%；住房保障（类）支出33.12万元，占3.69%。</w:t>
      </w:r>
    </w:p>
    <w:p>
      <w:pPr>
        <w:jc w:val="center"/>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（三）一般公共预算财政拨款支出决算具体情况。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2021年度一般公共预算财政拨款支出年初预算为619.99万元，支出决算为898.46万元，完成年初预算的144.92%。其中：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1.社会和保障就业支出（类）行政事业单位养老支出（款）机关事业单位基本养老保险缴费支出（项）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bidi="ar"/>
        </w:rPr>
      </w:pPr>
      <w:r>
        <w:rPr>
          <w:rFonts w:hint="eastAsia" w:ascii="仿宋_GB2312" w:hAnsi="ˎ̥" w:eastAsia="仿宋_GB2312" w:cs="仿宋_GB2312"/>
          <w:kern w:val="0"/>
          <w:sz w:val="32"/>
          <w:szCs w:val="32"/>
          <w:lang w:val="en-US" w:eastAsia="zh-CN" w:bidi="ar"/>
        </w:rPr>
        <w:t>年初预算为41.6万元，支出决算为41.6万元，完成年初预算的100%。决算数与预算数持平。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2.</w:t>
      </w:r>
      <w:r>
        <w:rPr>
          <w:rFonts w:hint="default" w:ascii="仿宋_GB2312" w:hAnsi="ˎ̥" w:eastAsia="仿宋_GB2312" w:cs="仿宋_GB2312"/>
          <w:kern w:val="0"/>
          <w:sz w:val="32"/>
          <w:szCs w:val="32"/>
        </w:rPr>
        <w:t>社会保障和就业支出（类）其他社会保障和就业支出（款）其他社会保障和就业支出（项）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年初预算为1.9万元，支出决算为1.9万元，完成年初预算的100%。决算数与预算数持平。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3.卫生健康支出（类）卫生健康管理事务（款）其他卫生健康管理事务支出（项）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年初预算为0万元，支出决算为15万元，完成年初预算的100%。决算数大于预算数的主要原因是该项目经费为省市下达的工作经费，于本年度完成。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4.卫生健康支出（类）公共卫生（款）疾病预防控制机构（项）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年初预算为482.57万元，支出决算为491.69万元，完成年初预算的100%。决算数大于预算数的主要原因是该项目为保运转及人员经费，由于年中追加预算人员经费故存在差异。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5.卫生健康支出（类）公共卫生（款）基本公共卫生服务（项）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年初预算为74万元，支出决算为76.76万元，完成年初预算的100%。决算数大于预算数的主要原因：一是2021年年中追加了新冠疫情防控经费。二是上年度中央基本公共卫生服务项目支出结转结余24.82万元于本年度支出，增加了本年度支出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6.卫生健康支出（类）公共卫生（款）重大公共卫生服务（项）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年初预算为0万元，支出决算为51.08万元，完成率100%。决算数大于预算数的主要原因：一是该项目分别在2021年月份和12月份下达的2021年中央重大公共卫生服务补助资金38.78万元。二是上年度中央重大公共卫生服务项目支出结转结余12.3万元于本年度支出，增加了本年度支出数。</w:t>
      </w:r>
    </w:p>
    <w:p>
      <w:pPr>
        <w:ind w:left="0" w:firstLine="640" w:firstLineChars="200"/>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7.</w:t>
      </w:r>
      <w:r>
        <w:rPr>
          <w:rFonts w:hint="default" w:ascii="仿宋_GB2312" w:hAnsi="ˎ̥" w:eastAsia="仿宋_GB2312" w:cs="仿宋_GB2312"/>
          <w:kern w:val="0"/>
          <w:sz w:val="32"/>
          <w:szCs w:val="32"/>
        </w:rPr>
        <w:t>卫生健康支出（类）公共卫生（款）其他公共卫生支出（项）</w:t>
      </w:r>
    </w:p>
    <w:p>
      <w:pPr>
        <w:ind w:left="0" w:firstLine="640" w:firstLineChars="200"/>
        <w:rPr>
          <w:rFonts w:hint="default" w:ascii="仿宋_GB2312" w:hAnsi="ˎ̥" w:eastAsia="仿宋_GB2312" w:cs="仿宋_GB2312"/>
          <w:kern w:val="0"/>
          <w:sz w:val="32"/>
          <w:szCs w:val="32"/>
        </w:rPr>
      </w:pPr>
      <w:r>
        <w:rPr>
          <w:rFonts w:hint="default" w:ascii="仿宋_GB2312" w:hAnsi="ˎ̥" w:eastAsia="仿宋_GB2312" w:cs="仿宋_GB2312"/>
          <w:color w:val="000000"/>
          <w:kern w:val="0"/>
          <w:sz w:val="32"/>
          <w:szCs w:val="32"/>
        </w:rPr>
        <w:t>年初预算为0万元，支出决算为121.08万元，完成率100%。决算数大于预算数的主要原因：是2021年年中追加新冠疫情防控相关费用的支出。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8.卫生健康支出（类）行政事业单位医疗（款）事业单位医疗（项）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年初预算为22.1万元，支出决算为22.1万元，完成年初预算的100%。决算数与预算数持平。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9.卫生健康支出（类）行政事业单位医疗（款）公务员医疗补助（项）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年初预算为37.27万元，支出决算为37.65万元，完成年初预算的100%。决算数大于预算数的主要原因是年中工资改革和正常调资。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10.</w:t>
      </w:r>
      <w:r>
        <w:rPr>
          <w:rFonts w:hint="default" w:ascii="仿宋_GB2312" w:hAnsi="ˎ̥" w:eastAsia="仿宋_GB2312" w:cs="仿宋_GB2312"/>
          <w:kern w:val="0"/>
          <w:sz w:val="32"/>
          <w:szCs w:val="32"/>
        </w:rPr>
        <w:t>卫生健康支出（类）其他卫生健康支出（款）其他卫生健康支出（项）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color w:val="000000"/>
          <w:kern w:val="0"/>
          <w:sz w:val="32"/>
          <w:szCs w:val="32"/>
        </w:rPr>
      </w:pPr>
      <w:r>
        <w:rPr>
          <w:rFonts w:hint="default" w:ascii="仿宋_GB2312" w:hAnsi="ˎ̥" w:eastAsia="仿宋_GB2312" w:cs="仿宋_GB2312"/>
          <w:color w:val="000000"/>
          <w:kern w:val="0"/>
          <w:sz w:val="32"/>
          <w:szCs w:val="32"/>
        </w:rPr>
        <w:t>年初预算为0万元，支出决算为6.33万元，完成率100%。决算数大于预算数的主要原因：一是该项目为中央基本公共卫生服务资金于2021年5月份下达。二是上年度中央基本公共卫生服务项目支出结转结余1.23万元于本年度支出，增加了本年度支出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color w:val="000000"/>
          <w:kern w:val="0"/>
          <w:sz w:val="32"/>
          <w:szCs w:val="32"/>
          <w:lang w:val="en-US" w:eastAsia="zh-CN"/>
        </w:rPr>
      </w:pPr>
      <w:r>
        <w:rPr>
          <w:rFonts w:hint="eastAsia" w:ascii="仿宋_GB2312" w:hAnsi="ˎ̥" w:eastAsia="仿宋_GB2312" w:cs="仿宋_GB2312"/>
          <w:color w:val="000000"/>
          <w:kern w:val="0"/>
          <w:sz w:val="32"/>
          <w:szCs w:val="32"/>
          <w:lang w:val="en-US" w:eastAsia="zh-CN"/>
        </w:rPr>
        <w:t>11.农林水支出（类）扶贫（款）其他扶贫支出（项）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color w:val="000000"/>
          <w:kern w:val="0"/>
          <w:sz w:val="32"/>
          <w:szCs w:val="32"/>
        </w:rPr>
      </w:pPr>
      <w:r>
        <w:rPr>
          <w:rFonts w:hint="default" w:ascii="仿宋_GB2312" w:hAnsi="ˎ̥" w:eastAsia="仿宋_GB2312" w:cs="仿宋_GB2312"/>
          <w:color w:val="000000"/>
          <w:kern w:val="0"/>
          <w:sz w:val="32"/>
          <w:szCs w:val="32"/>
        </w:rPr>
        <w:t>年初预算为0万元，支出决算为0.15万元，完成率100%。决算数大于预算数的主要原因是该项目在2021年9月份下达的扶贫工作奖励金，于本年度完成。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12.</w:t>
      </w:r>
      <w:r>
        <w:rPr>
          <w:rFonts w:hint="default" w:ascii="仿宋_GB2312" w:hAnsi="ˎ̥" w:eastAsia="仿宋_GB2312" w:cs="仿宋_GB2312"/>
          <w:kern w:val="0"/>
          <w:sz w:val="32"/>
          <w:szCs w:val="32"/>
        </w:rPr>
        <w:t>住房保障支出（类）住房改革支出（款）住房公积金（项）</w:t>
      </w:r>
    </w:p>
    <w:p>
      <w:pPr>
        <w:ind w:left="0" w:firstLine="640" w:firstLineChars="200"/>
        <w:rPr>
          <w:rFonts w:hint="default" w:ascii="仿宋_GB2312" w:hAnsi="ˎ̥" w:eastAsia="仿宋_GB2312" w:cs="仿宋_GB2312"/>
          <w:color w:val="000000"/>
          <w:kern w:val="0"/>
          <w:sz w:val="32"/>
          <w:szCs w:val="32"/>
        </w:rPr>
      </w:pPr>
      <w:r>
        <w:rPr>
          <w:rFonts w:hint="default" w:ascii="仿宋_GB2312" w:hAnsi="ˎ̥" w:eastAsia="仿宋_GB2312" w:cs="仿宋_GB2312"/>
          <w:color w:val="000000"/>
          <w:kern w:val="0"/>
          <w:sz w:val="32"/>
          <w:szCs w:val="32"/>
        </w:rPr>
        <w:t>年初预算为34.55万元，支出决算为33.12万元，完成年初预算的95.86%。由于当年公积金预算取值口径大，故预算数值比实际数据大。</w:t>
      </w:r>
    </w:p>
    <w:p>
      <w:pPr>
        <w:ind w:left="0" w:firstLine="640" w:firstLineChars="200"/>
        <w:outlineLvl w:val="0"/>
        <w:rPr>
          <w:rFonts w:hint="eastAsia" w:ascii="黑体" w:hAnsi="宋体" w:eastAsia="黑体" w:cs="黑体"/>
          <w:bCs/>
          <w:kern w:val="0"/>
          <w:sz w:val="32"/>
          <w:szCs w:val="32"/>
          <w:lang w:val="en-US" w:eastAsia="zh-CN" w:bidi="ar"/>
        </w:rPr>
      </w:pPr>
      <w:bookmarkStart w:id="54" w:name="_Toc26156"/>
      <w:bookmarkStart w:id="55" w:name="_Toc26110"/>
      <w:r>
        <w:rPr>
          <w:rFonts w:hint="eastAsia" w:ascii="黑体" w:hAnsi="宋体" w:eastAsia="黑体" w:cs="黑体"/>
          <w:bCs/>
          <w:kern w:val="0"/>
          <w:sz w:val="32"/>
          <w:szCs w:val="32"/>
          <w:lang w:val="en-US" w:eastAsia="zh-CN" w:bidi="ar"/>
        </w:rPr>
        <w:t>六、一般公共预算财政拨款基本支出决算情况说明</w:t>
      </w:r>
      <w:bookmarkEnd w:id="54"/>
      <w:bookmarkEnd w:id="5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财政拨款基本支出516.88万元，其中：人员经费489.79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27.09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rPr>
      </w:pPr>
      <w:bookmarkStart w:id="56" w:name="_Toc8585"/>
      <w:bookmarkStart w:id="57" w:name="_Toc5764"/>
      <w:r>
        <w:rPr>
          <w:rFonts w:hint="eastAsia" w:ascii="黑体" w:hAnsi="宋体" w:eastAsia="黑体" w:cs="黑体"/>
          <w:bCs/>
          <w:kern w:val="0"/>
          <w:sz w:val="32"/>
          <w:szCs w:val="32"/>
          <w:lang w:val="en-US" w:eastAsia="zh-CN"/>
        </w:rPr>
        <w:t>七、政府性基金预算财政拨款支出决算情况说明</w:t>
      </w:r>
      <w:bookmarkEnd w:id="56"/>
      <w:bookmarkEnd w:id="5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eastAsia="zh-CN"/>
        </w:rPr>
      </w:pPr>
      <w:r>
        <w:rPr>
          <w:rFonts w:hint="default" w:ascii="仿宋_GB2312" w:hAnsi="ˎ̥" w:eastAsia="仿宋_GB2312" w:cs="仿宋_GB2312"/>
          <w:kern w:val="0"/>
          <w:sz w:val="32"/>
          <w:szCs w:val="32"/>
        </w:rPr>
        <w:t>2021年度没有发生与该表相关的收支决算数据</w:t>
      </w:r>
      <w:r>
        <w:rPr>
          <w:rFonts w:hint="eastAsia" w:ascii="仿宋_GB2312" w:hAnsi="ˎ̥"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rPr>
      </w:pPr>
      <w:bookmarkStart w:id="58" w:name="_Toc2754"/>
      <w:bookmarkStart w:id="59" w:name="_Toc18420"/>
      <w:r>
        <w:rPr>
          <w:rFonts w:hint="eastAsia" w:ascii="黑体" w:hAnsi="宋体" w:eastAsia="黑体" w:cs="黑体"/>
          <w:bCs/>
          <w:kern w:val="0"/>
          <w:sz w:val="32"/>
          <w:szCs w:val="32"/>
          <w:lang w:val="en-US" w:eastAsia="zh-CN"/>
        </w:rPr>
        <w:t>八、</w:t>
      </w:r>
      <w:r>
        <w:rPr>
          <w:rFonts w:hint="eastAsia" w:ascii="黑体" w:hAnsi="宋体" w:eastAsia="黑体" w:cs="黑体"/>
          <w:bCs/>
          <w:kern w:val="0"/>
          <w:sz w:val="32"/>
          <w:szCs w:val="32"/>
        </w:rPr>
        <w:t>国有资本经营预算财政拨款支出决算情况说明</w:t>
      </w:r>
      <w:bookmarkEnd w:id="58"/>
      <w:bookmarkEnd w:id="5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仿宋_GB2312" w:hAnsi="ˎ̥" w:eastAsia="仿宋_GB2312" w:cs="仿宋_GB2312"/>
          <w:kern w:val="0"/>
          <w:sz w:val="32"/>
          <w:szCs w:val="32"/>
          <w:lang w:val="en-US" w:eastAsia="zh-CN"/>
        </w:rPr>
      </w:pPr>
      <w:bookmarkStart w:id="60" w:name="_Toc13655"/>
      <w:bookmarkStart w:id="61" w:name="_Toc32013"/>
      <w:r>
        <w:rPr>
          <w:rFonts w:hint="eastAsia" w:ascii="黑体" w:hAnsi="宋体" w:eastAsia="黑体" w:cs="黑体"/>
          <w:bCs/>
          <w:kern w:val="0"/>
          <w:sz w:val="32"/>
          <w:szCs w:val="32"/>
          <w:lang w:val="en-US" w:eastAsia="zh-CN"/>
        </w:rPr>
        <w:t>九、一般公共预算财政拨款“三公”经费支出决算情况说明</w:t>
      </w:r>
      <w:bookmarkEnd w:id="60"/>
      <w:bookmarkEnd w:id="61"/>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ˎ̥" w:eastAsia="仿宋_GB2312" w:cs="仿宋_GB2312"/>
          <w:kern w:val="0"/>
          <w:sz w:val="32"/>
          <w:szCs w:val="32"/>
          <w:lang w:val="en-US" w:eastAsia="zh-CN"/>
        </w:rPr>
      </w:pPr>
      <w:r>
        <w:rPr>
          <w:rFonts w:hint="eastAsia" w:ascii="楷体" w:hAnsi="楷体" w:eastAsia="楷体" w:cs="楷体"/>
          <w:b/>
          <w:bCs w:val="0"/>
          <w:kern w:val="0"/>
          <w:sz w:val="32"/>
          <w:szCs w:val="32"/>
          <w:lang w:val="en-US" w:eastAsia="zh-CN" w:bidi="ar"/>
        </w:rPr>
        <w:t>（一）一般公共预算财政拨款“三公”经费支出决算总体情况说明。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2021年度一般公共预算财政拨款“三公”经费支出预算为0万元，支出决算为0万元，完成预算的0%。</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ˎ̥" w:eastAsia="仿宋_GB2312" w:cs="仿宋_GB2312"/>
          <w:kern w:val="0"/>
          <w:sz w:val="32"/>
          <w:szCs w:val="32"/>
          <w:lang w:val="en-US" w:eastAsia="zh-CN"/>
        </w:rPr>
      </w:pPr>
      <w:r>
        <w:rPr>
          <w:rFonts w:hint="eastAsia" w:ascii="楷体" w:hAnsi="楷体" w:eastAsia="楷体" w:cs="楷体"/>
          <w:b/>
          <w:bCs w:val="0"/>
          <w:kern w:val="0"/>
          <w:sz w:val="32"/>
          <w:szCs w:val="32"/>
          <w:lang w:val="en-US" w:eastAsia="zh-CN" w:bidi="ar"/>
        </w:rPr>
        <w:t>（二）一般公共预算财政拨款“三公”经费支出决算具体情况说明。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2021年度一般公共预算财政拨款“三公”经费支出决算中，因公出国（境）费支出决算0万元，占0%；公务用车购置及运行维护费支出决算0万元，占0%；公务接待费支出决算0万元，占0%。具体情况如下：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1.因公出国（境）费支出0万元。全年安排因公出国（境）团组0个，因公出国（境）0人次。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因公出国（境）费支出决算与预算数为0万元，增减0%主要原因是2021年度没有发生与该表相关的收支决算数据。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2.公务用车购置及运行维护费支出0万元。其中：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公务用车购置支出0万元，全年购置公务用车0，年末公务用车保有量0。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公务用车运行维护费支出0元。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公务用车购置及运行费支出决算数与预算数为0万元，增减0%，主要原因是2021年度没有发生与该表相关的收支决算数据。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val="en-US" w:eastAsia="zh-CN"/>
        </w:rPr>
        <w:t>3.</w:t>
      </w:r>
      <w:r>
        <w:rPr>
          <w:rFonts w:hint="default" w:ascii="仿宋_GB2312" w:hAnsi="ˎ̥" w:eastAsia="仿宋_GB2312" w:cs="仿宋_GB2312"/>
          <w:kern w:val="0"/>
          <w:sz w:val="32"/>
          <w:szCs w:val="32"/>
        </w:rPr>
        <w:t>公务接待费支出0万元，其中：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国内接待费支出0元，国内公务接待0次，接待0人次。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国（境）外接待费支出0元，国（境）外公务接待0次，接待0人次。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公务接待费支出决算数与预算数为0万元，增减0%，主要原因是2021年度没有发生与该表相关的收支决算数据。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bidi="ar"/>
        </w:rPr>
      </w:pPr>
      <w:bookmarkStart w:id="62" w:name="_Toc6732"/>
      <w:bookmarkStart w:id="63" w:name="_Toc2612"/>
      <w:r>
        <w:rPr>
          <w:rFonts w:hint="eastAsia" w:ascii="黑体" w:hAnsi="宋体" w:eastAsia="黑体" w:cs="黑体"/>
          <w:bCs/>
          <w:kern w:val="0"/>
          <w:sz w:val="32"/>
          <w:szCs w:val="32"/>
          <w:lang w:val="en-US" w:eastAsia="zh-CN" w:bidi="ar"/>
        </w:rPr>
        <w:t>十、政府性基金预算财政拨款“三公”经费支出决算情况说明</w:t>
      </w:r>
      <w:bookmarkEnd w:id="62"/>
      <w:bookmarkEnd w:id="6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rPr>
      </w:pPr>
      <w:bookmarkStart w:id="64" w:name="_Toc14083"/>
      <w:bookmarkStart w:id="65" w:name="_Toc860"/>
      <w:r>
        <w:rPr>
          <w:rFonts w:hint="eastAsia" w:ascii="黑体" w:hAnsi="宋体" w:eastAsia="黑体" w:cs="黑体"/>
          <w:bCs/>
          <w:kern w:val="0"/>
          <w:sz w:val="32"/>
          <w:szCs w:val="32"/>
          <w:lang w:val="en-US" w:eastAsia="zh-CN" w:bidi="ar"/>
        </w:rPr>
        <w:t>十一、国有资本经营预算财政拨款“三公”经费支出决算情况说明</w:t>
      </w:r>
      <w:bookmarkEnd w:id="64"/>
      <w:bookmarkEnd w:id="6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2021年度没有发生与该表相关的收支决算数据。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bidi="ar"/>
        </w:rPr>
      </w:pPr>
      <w:bookmarkStart w:id="66" w:name="_Toc20742"/>
      <w:bookmarkStart w:id="67" w:name="_Toc1081"/>
      <w:r>
        <w:rPr>
          <w:rFonts w:hint="eastAsia" w:ascii="黑体" w:hAnsi="宋体" w:eastAsia="黑体" w:cs="黑体"/>
          <w:bCs/>
          <w:kern w:val="0"/>
          <w:sz w:val="32"/>
          <w:szCs w:val="32"/>
          <w:lang w:val="en-US" w:eastAsia="zh-CN" w:bidi="ar"/>
        </w:rPr>
        <w:t>十二、预算绩效情况说明。</w:t>
      </w:r>
      <w:bookmarkEnd w:id="66"/>
      <w:bookmarkEnd w:id="67"/>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kern w:val="0"/>
          <w:sz w:val="32"/>
          <w:szCs w:val="32"/>
          <w:lang w:val="en-US" w:eastAsia="zh-CN" w:bidi="ar"/>
        </w:rPr>
      </w:pPr>
      <w:r>
        <w:rPr>
          <w:rFonts w:hint="eastAsia" w:ascii="楷体" w:hAnsi="楷体" w:eastAsia="楷体" w:cs="楷体"/>
          <w:b/>
          <w:bCs w:val="0"/>
          <w:kern w:val="0"/>
          <w:sz w:val="32"/>
          <w:szCs w:val="32"/>
          <w:lang w:val="en-US" w:eastAsia="zh-CN" w:bidi="ar"/>
        </w:rPr>
        <w:t>（一）绩效管理工作开展情况。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根据财政预算管理要求，我单位组织对2021年度一般公共预算项目支出全面开展绩效自评。自评项目31个共涉及资金1252.65万元，自评覆盖率达到100%。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共组织对“基本公共卫生”等3个项目开展了部门评价，涉及资金110.1万元。从评价情况来看，项目开展能够按照计划执行，项目预算经费基本能够满足需求，项目能够达到预期目标，产生较好的社会效益和公共卫生服务效能，项目整体评价结果均为优秀。本单位无重点项目。（“免疫规划”项目绩效自评报告见正文附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由于条件有限本单位本年度未开展整体支出绩效评价的相关工作。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黑体" w:hAnsi="宋体" w:eastAsia="黑体" w:cs="黑体"/>
          <w:bCs/>
          <w:kern w:val="0"/>
          <w:sz w:val="32"/>
          <w:szCs w:val="32"/>
          <w:lang w:val="en-US" w:eastAsia="zh-CN" w:bidi="ar"/>
        </w:rPr>
      </w:pPr>
      <w:bookmarkStart w:id="68" w:name="_Toc31157"/>
      <w:bookmarkStart w:id="69" w:name="_Toc4623"/>
      <w:r>
        <w:rPr>
          <w:rFonts w:hint="eastAsia" w:ascii="黑体" w:hAnsi="宋体" w:eastAsia="黑体" w:cs="黑体"/>
          <w:bCs/>
          <w:kern w:val="0"/>
          <w:sz w:val="32"/>
          <w:szCs w:val="32"/>
          <w:lang w:val="en-US" w:eastAsia="zh-CN" w:bidi="ar"/>
        </w:rPr>
        <w:t>十三、其他重要事项情况说明。</w:t>
      </w:r>
      <w:bookmarkEnd w:id="68"/>
      <w:bookmarkEnd w:id="69"/>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kern w:val="0"/>
          <w:sz w:val="32"/>
          <w:szCs w:val="32"/>
          <w:lang w:val="en-US" w:eastAsia="zh-CN" w:bidi="ar"/>
        </w:rPr>
      </w:pPr>
      <w:r>
        <w:rPr>
          <w:rFonts w:hint="eastAsia" w:ascii="楷体" w:hAnsi="楷体" w:eastAsia="楷体" w:cs="楷体"/>
          <w:b/>
          <w:bCs w:val="0"/>
          <w:kern w:val="0"/>
          <w:sz w:val="32"/>
          <w:szCs w:val="32"/>
          <w:lang w:val="en-US" w:eastAsia="zh-CN" w:bidi="ar"/>
        </w:rPr>
        <w:t>（一）机关运行经费支出情况。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美兰区疾病预防控制中心属于事业单位，无机关运行经费的支出。</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kern w:val="0"/>
          <w:sz w:val="32"/>
          <w:szCs w:val="32"/>
          <w:lang w:val="en-US" w:eastAsia="zh-CN" w:bidi="ar"/>
        </w:rPr>
      </w:pPr>
      <w:r>
        <w:rPr>
          <w:rFonts w:hint="eastAsia" w:ascii="楷体" w:hAnsi="楷体" w:eastAsia="楷体" w:cs="楷体"/>
          <w:b/>
          <w:bCs w:val="0"/>
          <w:kern w:val="0"/>
          <w:sz w:val="32"/>
          <w:szCs w:val="32"/>
          <w:lang w:val="en-US" w:eastAsia="zh-CN" w:bidi="ar"/>
        </w:rPr>
        <w:t>（二）政府采购支出情况。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2021年度美兰区疾病预防控制中心政府采购支出总额1.02万元，其中：政府采购货物支出1.02万元、政府采购工程支出0万元、政府采购服务支出0万元。</w:t>
      </w:r>
    </w:p>
    <w:p>
      <w:pPr>
        <w:ind w:lef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（三）国有资产占用情况。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截至2021年12月31日，本部门占用房屋面积4496平方米，其中：办公用房1520平方米，业务用房0平方米，其他（不含构筑物）2976平方米。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本部门共有车辆6辆，其中：从车辆种类说明：轿车3辆、越野车1辆、其他车型2辆，其他车型主要是疫苗冷链车；从车辆使用情况说明：6辆车均为其他用车。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单位价值50万元（含）以上通用设备0台（套），单价100万元（含）以上专用设备0台（套）。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年末在建工程0万元。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ˎ̥" w:eastAsia="仿宋_GB2312" w:cs="仿宋_GB2312"/>
          <w:kern w:val="0"/>
          <w:sz w:val="32"/>
          <w:szCs w:val="32"/>
          <w:lang w:val="en-US" w:eastAsia="zh-CN"/>
        </w:rPr>
      </w:pPr>
    </w:p>
    <w:p>
      <w:pPr>
        <w:jc w:val="center"/>
        <w:rPr>
          <w:rFonts w:hint="eastAsia" w:ascii="黑体" w:hAnsi="宋体" w:eastAsia="黑体" w:cs="黑体"/>
          <w:kern w:val="0"/>
          <w:sz w:val="44"/>
          <w:szCs w:val="44"/>
        </w:rPr>
      </w:pPr>
    </w:p>
    <w:p>
      <w:pPr>
        <w:jc w:val="center"/>
        <w:outlineLvl w:val="0"/>
        <w:rPr>
          <w:rFonts w:hint="eastAsia" w:ascii="黑体" w:hAnsi="ˎ̥" w:eastAsia="黑体" w:cs="黑体"/>
          <w:kern w:val="0"/>
          <w:sz w:val="32"/>
          <w:szCs w:val="32"/>
        </w:rPr>
      </w:pPr>
      <w:bookmarkStart w:id="70" w:name="_Toc1522"/>
      <w:bookmarkStart w:id="71" w:name="_Toc30458"/>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bookmarkEnd w:id="70"/>
      <w:bookmarkEnd w:id="71"/>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val="en-US" w:eastAsia="zh-CN" w:bidi="ar"/>
        </w:rPr>
        <w:t>一、</w:t>
      </w:r>
      <w:r>
        <w:rPr>
          <w:rFonts w:hint="eastAsia" w:ascii="仿宋_GB2312" w:hAnsi="ˎ̥" w:eastAsia="仿宋_GB2312" w:cs="仿宋_GB2312"/>
          <w:kern w:val="0"/>
          <w:sz w:val="32"/>
          <w:szCs w:val="32"/>
          <w:lang w:bidi="ar"/>
        </w:rPr>
        <w:t>财政拨款收入：指同级政府财政部门当年拨付的各类财政拨款。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二、上级补助收入：指事业单位从主管部门和上级单位取得的非财政补助收入。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三、事业收入：指事业单位开展专业业务活动及辅助活动取得的收入。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四、经营收入：指事业单位在专业业务活动及其辅助活动之外开展非独立核算经营活动取得的收入。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五、附属单位上缴收入：指事业单位取得附属独立核算单位根据有关规定上缴的收入。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六、其他收入：指除上述“财政拨款收入”“事业收入”“上级补助收入”“经营收入”“附属单位上缴收入”等以外的收入。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八、年初结转和结余：指以前年度尚未完成、结转到本年按有关规定继续使用的资金。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九、结余分配：指事业单位按规定提取的专用基金和缴纳的所得税。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十三、经营支出：指事业单位在专业业务活动及其辅助活动之外开展非独立核算经营活动发生的支出。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（支出功能分类的名词解释，各部门（单位）根据实际支出情况填列，可参阅财政部印发的《2021年政府收支分类科目》）</w:t>
      </w:r>
    </w:p>
    <w:p>
      <w:pPr>
        <w:jc w:val="left"/>
        <w:rPr>
          <w:rFonts w:hint="eastAsia" w:ascii="仿宋_GB2312" w:hAnsi="ˎ̥" w:eastAsia="仿宋_GB2312" w:cs="仿宋_GB2312"/>
          <w:kern w:val="0"/>
          <w:sz w:val="32"/>
          <w:szCs w:val="32"/>
          <w:lang w:bidi="ar"/>
        </w:rPr>
      </w:pPr>
      <w:r>
        <w:rPr>
          <w:rFonts w:hint="eastAsia" w:ascii="仿宋_GB2312" w:hAnsi="ˎ̥" w:eastAsia="仿宋_GB2312" w:cs="仿宋_GB2312"/>
          <w:kern w:val="0"/>
          <w:sz w:val="32"/>
          <w:szCs w:val="32"/>
          <w:lang w:bidi="ar"/>
        </w:rPr>
        <w:t>……</w:t>
      </w: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center"/>
        <w:rPr>
          <w:rFonts w:hint="eastAsia" w:ascii="黑体" w:hAnsi="宋体" w:eastAsia="黑体" w:cs="黑体"/>
          <w:kern w:val="0"/>
          <w:sz w:val="44"/>
          <w:szCs w:val="44"/>
        </w:rPr>
      </w:pPr>
    </w:p>
    <w:p>
      <w:pPr>
        <w:jc w:val="both"/>
        <w:rPr>
          <w:rFonts w:hint="eastAsia" w:ascii="黑体" w:hAnsi="宋体" w:eastAsia="黑体" w:cs="黑体"/>
          <w:kern w:val="0"/>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NzI2MzE2NzgzMDI0YTZkNmM2YzNhZjMzMDM5YmIifQ=="/>
  </w:docVars>
  <w:rsids>
    <w:rsidRoot w:val="00000000"/>
    <w:rsid w:val="0FD74B1F"/>
    <w:rsid w:val="35195979"/>
    <w:rsid w:val="362100D4"/>
    <w:rsid w:val="4FA02BCA"/>
    <w:rsid w:val="698A4054"/>
    <w:rsid w:val="7440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iPriority w:val="0"/>
  </w:style>
  <w:style w:type="paragraph" w:styleId="5">
    <w:name w:val="toc 2"/>
    <w:basedOn w:val="1"/>
    <w:next w:val="1"/>
    <w:uiPriority w:val="0"/>
    <w:pPr>
      <w:ind w:left="420" w:leftChars="200"/>
    </w:pPr>
  </w:style>
  <w:style w:type="paragraph" w:customStyle="1" w:styleId="8">
    <w:name w:val="msolistparagraph"/>
    <w:basedOn w:val="1"/>
    <w:qFormat/>
    <w:uiPriority w:val="0"/>
    <w:pPr>
      <w:keepNext w:val="0"/>
      <w:keepLines w:val="0"/>
      <w:widowControl/>
      <w:suppressLineNumbers w:val="0"/>
      <w:spacing w:before="0" w:beforeAutospacing="1" w:after="0" w:afterAutospacing="1"/>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9">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2023-07-20T09:48:13Z</dcterms:created>
  <dc:creator>hp</dc:creator>
  <cp:lastModifiedBy>hp</cp:lastModifiedBy>
  <dcterms:modified xsi:type="dcterms:W3CDTF">2023-07-20T11:31:16Z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F14FF6FBD4B54D3B8DABE99CB3938411_12</vt:lpwstr>
  </property>
</Properties>
</file>