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4</w:t>
      </w:r>
      <w:r>
        <w:rPr>
          <w:rFonts w:hint="eastAsia"/>
          <w:sz w:val="84"/>
          <w:szCs w:val="84"/>
        </w:rPr>
        <w:t>年海口市美兰区规划建设服务中心单位预算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美兰区规划中心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美兰区规划中心202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ind w:firstLine="0" w:firstLineChars="0"/>
        <w:jc w:val="left"/>
        <w:rPr>
          <w:rFonts w:ascii="黑体" w:hAnsi="黑体" w:eastAsia="黑体"/>
          <w:sz w:val="32"/>
          <w:szCs w:val="32"/>
        </w:rPr>
      </w:pPr>
      <w:r>
        <w:rPr>
          <w:rFonts w:hint="eastAsia" w:ascii="仿宋_GB2312" w:hAnsi="仿宋_GB2312" w:eastAsia="仿宋_GB2312" w:cs="仿宋_GB2312"/>
          <w:sz w:val="32"/>
          <w:szCs w:val="32"/>
        </w:rPr>
        <w:t>十、项目支出绩效信息表</w:t>
      </w:r>
    </w:p>
    <w:p>
      <w:pPr>
        <w:pStyle w:val="6"/>
        <w:ind w:firstLine="0" w:firstLineChars="0"/>
        <w:jc w:val="left"/>
        <w:rPr>
          <w:rFonts w:ascii="黑体" w:hAnsi="黑体" w:eastAsia="黑体"/>
          <w:sz w:val="32"/>
          <w:szCs w:val="32"/>
        </w:rPr>
      </w:pPr>
      <w:r>
        <w:rPr>
          <w:rFonts w:hint="eastAsia" w:ascii="黑体" w:hAnsi="黑体" w:eastAsia="黑体"/>
          <w:sz w:val="32"/>
          <w:szCs w:val="32"/>
        </w:rPr>
        <w:t>第三部分   美兰区规划中心内设机构</w:t>
      </w:r>
    </w:p>
    <w:p>
      <w:pPr>
        <w:pStyle w:val="6"/>
        <w:ind w:firstLine="0" w:firstLineChars="0"/>
        <w:jc w:val="left"/>
        <w:rPr>
          <w:rFonts w:ascii="仿宋_GB2312" w:hAnsi="仿宋_GB2312" w:eastAsia="仿宋_GB2312" w:cs="仿宋_GB2312"/>
          <w:sz w:val="32"/>
          <w:szCs w:val="32"/>
        </w:rPr>
      </w:pPr>
      <w:r>
        <w:rPr>
          <w:rFonts w:hint="eastAsia" w:ascii="黑体" w:hAnsi="黑体" w:eastAsia="黑体"/>
          <w:sz w:val="32"/>
          <w:szCs w:val="32"/>
        </w:rPr>
        <w:t>第四部分美兰区规划中心（单位）202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pStyle w:val="6"/>
        <w:ind w:firstLine="0" w:firstLineChars="0"/>
        <w:jc w:val="left"/>
        <w:rPr>
          <w:rFonts w:ascii="仿宋_GB2312" w:hAnsi="仿宋_GB2312" w:eastAsia="仿宋_GB2312" w:cs="仿宋_GB2312"/>
          <w:sz w:val="32"/>
          <w:szCs w:val="32"/>
        </w:rPr>
      </w:pPr>
      <w:r>
        <w:rPr>
          <w:rFonts w:hint="eastAsia" w:ascii="黑体" w:hAnsi="黑体" w:eastAsia="黑体"/>
          <w:sz w:val="32"/>
          <w:szCs w:val="32"/>
        </w:rPr>
        <w:t>第五部分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美兰区规划中心（单位）概况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（一）负责本区（除主城区外）村镇规划编制和建设项目选址、建设用地规划和乡村建设规划许可审批（除主城区外）；负责对辖区村镇规划建设实施情况进行监督管理。</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（二）负责本区内私宅类建设工程规划和临时建设工程规划许可。</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（三）负责核发主城区外建设工程和辖区内符合规划的个人宅基地住宅建设项目的建设工程施工许可证。</w:t>
      </w:r>
      <w:r>
        <w:rPr>
          <w:rFonts w:hint="eastAsia" w:ascii="仿宋" w:hAnsi="仿宋" w:eastAsia="仿宋"/>
          <w:color w:val="000000"/>
          <w:sz w:val="32"/>
          <w:szCs w:val="32"/>
        </w:rPr>
        <w:br w:type="textWrapping"/>
      </w:r>
      <w:r>
        <w:rPr>
          <w:rFonts w:hint="eastAsia" w:ascii="仿宋" w:hAnsi="仿宋" w:eastAsia="仿宋"/>
          <w:color w:val="000000"/>
          <w:sz w:val="32"/>
          <w:szCs w:val="32"/>
        </w:rPr>
        <w:t xml:space="preserve">    （四）负责开展规划管理、城市建设有关法律法规宣传活动。</w:t>
      </w:r>
    </w:p>
    <w:p>
      <w:pPr>
        <w:pStyle w:val="6"/>
        <w:ind w:firstLine="640"/>
        <w:jc w:val="left"/>
        <w:rPr>
          <w:rFonts w:ascii="仿宋_GB2312" w:hAnsi="黑体" w:eastAsia="仿宋_GB2312" w:cs="仿宋_GB2312"/>
          <w:sz w:val="32"/>
          <w:szCs w:val="32"/>
        </w:rPr>
      </w:pPr>
      <w:r>
        <w:rPr>
          <w:rFonts w:hint="eastAsia" w:ascii="仿宋" w:hAnsi="仿宋" w:eastAsia="仿宋"/>
          <w:color w:val="000000"/>
          <w:sz w:val="32"/>
          <w:szCs w:val="32"/>
        </w:rPr>
        <w:t>（五）承办区政府和上级部门交办的其他工作。</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rPr>
        <w:t>区规划中心</w:t>
      </w:r>
      <w:r>
        <w:rPr>
          <w:rFonts w:hint="eastAsia" w:ascii="黑体" w:hAnsi="黑体" w:eastAsia="黑体"/>
          <w:sz w:val="32"/>
          <w:szCs w:val="32"/>
        </w:rPr>
        <w:t>（单位）202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ind w:left="800"/>
        <w:jc w:val="center"/>
        <w:rPr>
          <w:rFonts w:hint="eastAsia" w:ascii="仿宋_GB2312" w:hAnsi="黑体" w:eastAsia="仿宋_GB2312"/>
          <w:b/>
          <w:sz w:val="32"/>
          <w:szCs w:val="32"/>
        </w:rPr>
      </w:pPr>
      <w:r>
        <w:rPr>
          <w:rFonts w:hint="eastAsia" w:ascii="仿宋_GB2312" w:hAnsi="黑体" w:eastAsia="仿宋_GB2312"/>
          <w:b/>
          <w:sz w:val="32"/>
          <w:szCs w:val="32"/>
        </w:rPr>
        <w:t>（此部分内容即为单位预算公开表）</w:t>
      </w:r>
    </w:p>
    <w:p>
      <w:pPr>
        <w:ind w:left="800"/>
        <w:rPr>
          <w:rFonts w:hint="eastAsia" w:ascii="仿宋_GB2312" w:hAnsi="黑体" w:eastAsia="仿宋_GB2312"/>
          <w:b/>
          <w:sz w:val="32"/>
          <w:szCs w:val="32"/>
        </w:rPr>
      </w:pPr>
      <w:r>
        <w:rPr>
          <w:rFonts w:hint="eastAsia" w:ascii="仿宋_GB2312" w:hAnsi="黑体" w:eastAsia="仿宋_GB2312"/>
          <w:b/>
          <w:sz w:val="32"/>
          <w:szCs w:val="32"/>
        </w:rPr>
        <w:t>第三部分  区规划中心内设机构</w:t>
      </w:r>
    </w:p>
    <w:p>
      <w:pPr>
        <w:ind w:left="800" w:leftChars="381" w:firstLine="630" w:firstLineChars="196"/>
        <w:rPr>
          <w:rFonts w:ascii="仿宋_GB2312" w:hAnsi="黑体" w:eastAsia="仿宋_GB2312"/>
          <w:b/>
          <w:sz w:val="32"/>
          <w:szCs w:val="32"/>
        </w:rPr>
      </w:pPr>
      <w:r>
        <w:rPr>
          <w:rFonts w:hint="eastAsia" w:ascii="仿宋_GB2312" w:hAnsi="黑体" w:eastAsia="仿宋_GB2312"/>
          <w:b/>
          <w:sz w:val="32"/>
          <w:szCs w:val="32"/>
        </w:rPr>
        <w:t>区规划中心未设内部机构</w:t>
      </w:r>
    </w:p>
    <w:p>
      <w:pPr>
        <w:jc w:val="center"/>
        <w:rPr>
          <w:rFonts w:ascii="黑体" w:hAnsi="黑体" w:eastAsia="黑体"/>
          <w:sz w:val="32"/>
          <w:szCs w:val="32"/>
        </w:rPr>
      </w:pPr>
      <w:r>
        <w:rPr>
          <w:rFonts w:hint="eastAsia" w:ascii="黑体" w:hAnsi="黑体" w:eastAsia="黑体"/>
          <w:sz w:val="32"/>
          <w:szCs w:val="32"/>
        </w:rPr>
        <w:t>第四部分   区规划中心（单位）202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一、关于区规划中心（单位）202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区规划中心（单位）202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万元、上年结转0万元，政府性基金预算本年收入0万元；支出总计</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8.25</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6.32</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52.08</w:t>
      </w:r>
      <w:r>
        <w:rPr>
          <w:rFonts w:hint="eastAsia" w:ascii="仿宋_GB2312" w:hAnsi="黑体" w:eastAsia="仿宋_GB2312"/>
          <w:sz w:val="32"/>
          <w:szCs w:val="32"/>
        </w:rPr>
        <w:t>万元、住房保障支出4.</w:t>
      </w:r>
      <w:r>
        <w:rPr>
          <w:rFonts w:hint="eastAsia" w:ascii="仿宋_GB2312" w:hAnsi="黑体" w:eastAsia="仿宋_GB2312"/>
          <w:sz w:val="32"/>
          <w:szCs w:val="32"/>
          <w:lang w:val="en-US" w:eastAsia="zh-CN"/>
        </w:rPr>
        <w:t>72</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二、关于区规划中心（单位）202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区规划中心（单位）202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4.92</w:t>
      </w:r>
      <w:r>
        <w:rPr>
          <w:rFonts w:hint="eastAsia" w:ascii="仿宋_GB2312" w:hAnsi="黑体" w:eastAsia="仿宋_GB2312"/>
          <w:sz w:val="32"/>
          <w:szCs w:val="32"/>
        </w:rPr>
        <w:t>万元，主要是一般公共预算增加。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8.25</w:t>
      </w:r>
      <w:r>
        <w:rPr>
          <w:rFonts w:hint="eastAsia" w:ascii="仿宋_GB2312" w:hAnsi="黑体" w:eastAsia="仿宋_GB2312"/>
          <w:sz w:val="32"/>
          <w:szCs w:val="32"/>
        </w:rPr>
        <w:t>万元，占11.</w:t>
      </w:r>
      <w:r>
        <w:rPr>
          <w:rFonts w:hint="eastAsia" w:ascii="仿宋_GB2312" w:hAnsi="黑体" w:eastAsia="仿宋_GB2312"/>
          <w:sz w:val="32"/>
          <w:szCs w:val="32"/>
          <w:lang w:val="en-US" w:eastAsia="zh-CN"/>
        </w:rPr>
        <w:t>56</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6.32</w:t>
      </w:r>
      <w:r>
        <w:rPr>
          <w:rFonts w:hint="eastAsia" w:ascii="仿宋_GB2312" w:hAnsi="黑体" w:eastAsia="仿宋_GB2312"/>
          <w:sz w:val="32"/>
          <w:szCs w:val="32"/>
        </w:rPr>
        <w:t>万元，占8.</w:t>
      </w:r>
      <w:r>
        <w:rPr>
          <w:rFonts w:hint="eastAsia" w:ascii="仿宋_GB2312" w:hAnsi="黑体" w:eastAsia="仿宋_GB2312"/>
          <w:sz w:val="32"/>
          <w:szCs w:val="32"/>
          <w:lang w:val="en-US" w:eastAsia="zh-CN"/>
        </w:rPr>
        <w:t>86</w:t>
      </w:r>
      <w:r>
        <w:rPr>
          <w:rFonts w:hint="eastAsia" w:ascii="仿宋_GB2312" w:hAnsi="黑体" w:eastAsia="仿宋_GB2312"/>
          <w:sz w:val="32"/>
          <w:szCs w:val="32"/>
        </w:rPr>
        <w:t>%；城乡社区（类）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52.08</w:t>
      </w:r>
      <w:r>
        <w:rPr>
          <w:rFonts w:hint="eastAsia" w:ascii="仿宋_GB2312" w:hAnsi="黑体" w:eastAsia="仿宋_GB2312"/>
          <w:sz w:val="32"/>
          <w:szCs w:val="32"/>
        </w:rPr>
        <w:t>万元，占7</w:t>
      </w:r>
      <w:r>
        <w:rPr>
          <w:rFonts w:hint="eastAsia" w:ascii="仿宋_GB2312" w:hAnsi="黑体" w:eastAsia="仿宋_GB2312"/>
          <w:sz w:val="32"/>
          <w:szCs w:val="32"/>
          <w:lang w:val="en-US" w:eastAsia="zh-CN"/>
        </w:rPr>
        <w:t>2.98</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支出4.</w:t>
      </w:r>
      <w:r>
        <w:rPr>
          <w:rFonts w:hint="eastAsia" w:ascii="仿宋_GB2312" w:hAnsi="黑体" w:eastAsia="仿宋_GB2312" w:cs="仿宋_GB2312"/>
          <w:sz w:val="32"/>
          <w:szCs w:val="32"/>
          <w:lang w:val="en-US" w:eastAsia="zh-CN"/>
        </w:rPr>
        <w:t>72</w:t>
      </w:r>
      <w:r>
        <w:rPr>
          <w:rFonts w:hint="eastAsia" w:ascii="仿宋_GB2312" w:hAnsi="黑体" w:eastAsia="仿宋_GB2312"/>
          <w:sz w:val="32"/>
          <w:szCs w:val="32"/>
        </w:rPr>
        <w:t>万元，占6.</w:t>
      </w:r>
      <w:r>
        <w:rPr>
          <w:rFonts w:hint="eastAsia" w:ascii="仿宋_GB2312" w:hAnsi="黑体" w:eastAsia="仿宋_GB2312"/>
          <w:sz w:val="32"/>
          <w:szCs w:val="32"/>
          <w:lang w:val="en-US" w:eastAsia="zh-CN"/>
        </w:rPr>
        <w:t>62</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1.</w:t>
      </w:r>
      <w:r>
        <w:rPr>
          <w:rFonts w:hint="eastAsia" w:ascii="仿宋_GB2312" w:hAnsi="黑体" w:eastAsia="仿宋_GB2312" w:cs="仿宋_GB2312"/>
          <w:sz w:val="32"/>
          <w:szCs w:val="32"/>
        </w:rPr>
        <w:t xml:space="preserve"> 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3.31</w:t>
      </w:r>
      <w:r>
        <w:rPr>
          <w:rFonts w:hint="eastAsia" w:ascii="仿宋_GB2312" w:hAnsi="黑体" w:eastAsia="仿宋_GB2312"/>
          <w:sz w:val="32"/>
          <w:szCs w:val="32"/>
        </w:rPr>
        <w:t>万元，主要是人员经费调整。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年预算数为2.47万元，比上年预算数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0.28</w:t>
      </w:r>
      <w:r>
        <w:rPr>
          <w:rFonts w:hint="eastAsia" w:ascii="仿宋_GB2312" w:hAnsi="黑体" w:eastAsia="仿宋_GB2312"/>
          <w:sz w:val="32"/>
          <w:szCs w:val="32"/>
        </w:rPr>
        <w:t>万元，主要是人员经费调整。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3.卫生健康</w:t>
      </w:r>
      <w:r>
        <w:rPr>
          <w:rFonts w:hint="eastAsia" w:ascii="仿宋_GB2312" w:hAnsi="黑体" w:eastAsia="仿宋_GB2312" w:cs="仿宋_GB2312"/>
          <w:sz w:val="32"/>
          <w:szCs w:val="32"/>
        </w:rPr>
        <w:t>支出（类）行政事业单位医疗（款）事业单位医疗（项）202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年预算数为2.</w:t>
      </w:r>
      <w:r>
        <w:rPr>
          <w:rFonts w:hint="eastAsia" w:ascii="仿宋_GB2312" w:hAnsi="黑体" w:eastAsia="仿宋_GB2312"/>
          <w:sz w:val="32"/>
          <w:szCs w:val="32"/>
          <w:lang w:val="en-US" w:eastAsia="zh-CN"/>
        </w:rPr>
        <w:t>54</w:t>
      </w:r>
      <w:r>
        <w:rPr>
          <w:rFonts w:hint="eastAsia" w:ascii="仿宋_GB2312" w:hAnsi="黑体" w:eastAsia="仿宋_GB2312"/>
          <w:sz w:val="32"/>
          <w:szCs w:val="32"/>
        </w:rPr>
        <w:t>万元，比上年预算数增加0.12万元，主要是人员经费调整。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4.卫生健康</w:t>
      </w:r>
      <w:r>
        <w:rPr>
          <w:rFonts w:hint="eastAsia" w:ascii="仿宋_GB2312" w:hAnsi="黑体" w:eastAsia="仿宋_GB2312" w:cs="仿宋_GB2312"/>
          <w:sz w:val="32"/>
          <w:szCs w:val="32"/>
        </w:rPr>
        <w:t>支出（类）行政事业单位医疗（款）公务员医疗补助（项）202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年预算数为3.</w:t>
      </w:r>
      <w:r>
        <w:rPr>
          <w:rFonts w:hint="eastAsia" w:ascii="仿宋_GB2312" w:hAnsi="黑体" w:eastAsia="仿宋_GB2312"/>
          <w:sz w:val="32"/>
          <w:szCs w:val="32"/>
          <w:lang w:val="en-US" w:eastAsia="zh-CN"/>
        </w:rPr>
        <w:t>78</w:t>
      </w:r>
      <w:r>
        <w:rPr>
          <w:rFonts w:hint="eastAsia" w:ascii="仿宋_GB2312" w:hAnsi="黑体" w:eastAsia="仿宋_GB2312"/>
          <w:sz w:val="32"/>
          <w:szCs w:val="32"/>
        </w:rPr>
        <w:t>万元，比上年预算数增加0</w:t>
      </w:r>
      <w:r>
        <w:rPr>
          <w:rFonts w:hint="eastAsia" w:ascii="仿宋_GB2312" w:hAnsi="黑体" w:eastAsia="仿宋_GB2312"/>
          <w:sz w:val="32"/>
          <w:szCs w:val="32"/>
          <w:lang w:val="en-US" w:eastAsia="zh-CN"/>
        </w:rPr>
        <w:t>.33</w:t>
      </w:r>
      <w:r>
        <w:rPr>
          <w:rFonts w:hint="eastAsia" w:ascii="仿宋_GB2312" w:hAnsi="黑体" w:eastAsia="仿宋_GB2312"/>
          <w:sz w:val="32"/>
          <w:szCs w:val="32"/>
        </w:rPr>
        <w:t>万元，主要是人员经费调整。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5.城乡社区</w:t>
      </w:r>
      <w:r>
        <w:rPr>
          <w:rFonts w:hint="eastAsia" w:ascii="仿宋_GB2312" w:hAnsi="黑体" w:eastAsia="仿宋_GB2312" w:cs="仿宋_GB2312"/>
          <w:sz w:val="32"/>
          <w:szCs w:val="32"/>
        </w:rPr>
        <w:t>支出（类）城乡社区管理事务（款）其他城乡社区管理事务支出（项）202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w:t>
      </w:r>
      <w:r>
        <w:rPr>
          <w:rFonts w:hint="eastAsia" w:ascii="仿宋_GB2312" w:hAnsi="黑体" w:eastAsia="仿宋_GB2312"/>
          <w:sz w:val="32"/>
          <w:szCs w:val="32"/>
          <w:lang w:val="en-US" w:eastAsia="zh-CN"/>
        </w:rPr>
        <w:t>8.08</w:t>
      </w:r>
      <w:r>
        <w:rPr>
          <w:rFonts w:hint="eastAsia" w:ascii="仿宋_GB2312" w:hAnsi="黑体" w:eastAsia="仿宋_GB2312"/>
          <w:sz w:val="32"/>
          <w:szCs w:val="32"/>
        </w:rPr>
        <w:t>万元，比上年预算数增加5.</w:t>
      </w:r>
      <w:r>
        <w:rPr>
          <w:rFonts w:hint="eastAsia" w:ascii="仿宋_GB2312" w:hAnsi="黑体" w:eastAsia="仿宋_GB2312"/>
          <w:sz w:val="32"/>
          <w:szCs w:val="32"/>
          <w:lang w:val="en-US" w:eastAsia="zh-CN"/>
        </w:rPr>
        <w:t>04</w:t>
      </w:r>
      <w:r>
        <w:rPr>
          <w:rFonts w:hint="eastAsia" w:ascii="仿宋_GB2312" w:hAnsi="黑体" w:eastAsia="仿宋_GB2312"/>
          <w:sz w:val="32"/>
          <w:szCs w:val="32"/>
        </w:rPr>
        <w:t>万元，主要是项目调整，科学预算。</w:t>
      </w:r>
    </w:p>
    <w:p>
      <w:pPr>
        <w:ind w:firstLine="640" w:firstLineChars="200"/>
        <w:rPr>
          <w:rFonts w:ascii="仿宋_GB2312" w:hAnsi="黑体" w:eastAsia="仿宋_GB2312"/>
          <w:sz w:val="32"/>
          <w:szCs w:val="32"/>
        </w:rPr>
      </w:pPr>
      <w:r>
        <w:rPr>
          <w:rFonts w:hint="eastAsia" w:ascii="仿宋_GB2312" w:hAnsi="黑体" w:eastAsia="仿宋_GB2312"/>
          <w:sz w:val="32"/>
          <w:szCs w:val="32"/>
        </w:rPr>
        <w:t>6.城乡社区</w:t>
      </w:r>
      <w:r>
        <w:rPr>
          <w:rFonts w:hint="eastAsia" w:ascii="仿宋_GB2312" w:hAnsi="黑体" w:eastAsia="仿宋_GB2312" w:cs="仿宋_GB2312"/>
          <w:sz w:val="32"/>
          <w:szCs w:val="32"/>
        </w:rPr>
        <w:t>支出（类）城乡社区规划与管理（款）城乡社区规划与管理（项）202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w:t>
      </w:r>
      <w:r>
        <w:rPr>
          <w:rFonts w:hint="eastAsia" w:ascii="仿宋_GB2312" w:hAnsi="黑体" w:eastAsia="仿宋_GB2312"/>
          <w:sz w:val="32"/>
          <w:szCs w:val="32"/>
        </w:rPr>
        <w:t>万元，比上年预算数增加2万元，主要是项目调整，科学预算。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7.住房保障支出（类）住房改革支出（款）住房公积金支出（项）202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年预算数为4.</w:t>
      </w:r>
      <w:r>
        <w:rPr>
          <w:rFonts w:hint="eastAsia" w:ascii="仿宋_GB2312" w:hAnsi="黑体" w:eastAsia="仿宋_GB2312"/>
          <w:sz w:val="32"/>
          <w:szCs w:val="32"/>
          <w:lang w:val="en-US" w:eastAsia="zh-CN"/>
        </w:rPr>
        <w:t>72</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0.42</w:t>
      </w:r>
      <w:r>
        <w:rPr>
          <w:rFonts w:hint="eastAsia" w:ascii="仿宋_GB2312" w:hAnsi="黑体" w:eastAsia="仿宋_GB2312"/>
          <w:sz w:val="32"/>
          <w:szCs w:val="32"/>
        </w:rPr>
        <w:t>万元，主要是公积金基数调整。</w:t>
      </w:r>
    </w:p>
    <w:p>
      <w:pPr>
        <w:ind w:firstLine="640"/>
        <w:rPr>
          <w:rFonts w:ascii="黑体" w:hAnsi="黑体" w:eastAsia="黑体"/>
          <w:sz w:val="32"/>
          <w:szCs w:val="32"/>
        </w:rPr>
      </w:pPr>
      <w:r>
        <w:rPr>
          <w:rFonts w:hint="eastAsia" w:ascii="黑体" w:hAnsi="黑体" w:eastAsia="黑体"/>
          <w:sz w:val="32"/>
          <w:szCs w:val="32"/>
        </w:rPr>
        <w:t>三、关于区规划中心（单位）202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区规划中心（单位）202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67.37</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61.63</w:t>
      </w:r>
      <w:r>
        <w:rPr>
          <w:rFonts w:hint="eastAsia" w:ascii="仿宋_GB2312" w:hAnsi="黑体" w:eastAsia="仿宋_GB2312"/>
          <w:sz w:val="32"/>
          <w:szCs w:val="32"/>
        </w:rPr>
        <w:t>万元，主要包括：基本工资、津贴补贴、奖金、社会保障缴费、医疗费等。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5.74</w:t>
      </w:r>
      <w:r>
        <w:rPr>
          <w:rFonts w:hint="eastAsia" w:ascii="仿宋_GB2312" w:hAnsi="黑体" w:eastAsia="仿宋_GB2312"/>
          <w:sz w:val="32"/>
          <w:szCs w:val="32"/>
        </w:rPr>
        <w:t>万元，主要包括：办公费、邮电费、差旅费、工会经费、福利费、其他交通费、其他商品和服务支出及办公设备购置费。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四、区规划中心（单位）202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（一）区规划中心（单位）202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年一般公共预算“三公”经费预算数为0万元，其中：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1、</w:t>
      </w: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我局无因公出国，所以支出为0。根据区政府安排的202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年出国计划，拟安排出国（境）组0次，出国（境）0人。</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2、</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较上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厉行节约。</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cs="Times New Roman"/>
          <w:sz w:val="32"/>
          <w:szCs w:val="32"/>
        </w:rPr>
        <w:t>3、</w:t>
      </w:r>
      <w:r>
        <w:rPr>
          <w:rFonts w:ascii="仿宋_GB2312" w:hAnsi="黑体" w:eastAsia="仿宋_GB2312" w:cs="Times New Roman"/>
          <w:sz w:val="32"/>
          <w:szCs w:val="32"/>
        </w:rPr>
        <w:t>公务接待费</w:t>
      </w:r>
      <w:r>
        <w:rPr>
          <w:rFonts w:hint="eastAsia" w:ascii="仿宋_GB2312" w:hAnsi="黑体" w:eastAsia="仿宋_GB2312" w:cs="Times New Roman"/>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响应政府号召，取消公务接待。公务接待0批，0人。</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（二）区规划中心202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年政府性基金预算“三公”经费预算数为0万元，其中：</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 xml:space="preserve"> 1、因出国（境）经费0万元，与去年预算持平，持平的原因包括我局无因公出国，所以支出为0，根据区政府安排的202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 xml:space="preserve">年出国计划，拟安排出国（境）组0次，出国（境）人0人。 2、公务用车购置及运行费0万元（其中，公务用车购置费0万元，购置公务车0辆，公务用车运行费0万元），与上年预算持平。3、公务接待费0万元，与上年预算持平。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五、关于区规划中心（单位）202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仿宋" w:hAnsi="仿宋" w:eastAsia="仿宋" w:cs="Times New Roman"/>
          <w:sz w:val="32"/>
          <w:shd w:val="clear" w:color="auto" w:fill="FFFFFF"/>
        </w:rPr>
      </w:pPr>
      <w:r>
        <w:rPr>
          <w:rFonts w:hint="eastAsia" w:ascii="仿宋" w:hAnsi="仿宋" w:eastAsia="仿宋" w:cs="Times New Roman"/>
          <w:sz w:val="32"/>
          <w:shd w:val="clear" w:color="auto" w:fill="FFFFFF"/>
        </w:rPr>
        <w:t>海口市美兰区规划建设服务中心202</w:t>
      </w:r>
      <w:r>
        <w:rPr>
          <w:rFonts w:hint="eastAsia" w:ascii="仿宋" w:hAnsi="仿宋" w:eastAsia="仿宋" w:cs="Times New Roman"/>
          <w:sz w:val="32"/>
          <w:shd w:val="clear" w:color="auto" w:fill="FFFFFF"/>
          <w:lang w:val="en-US" w:eastAsia="zh-CN"/>
        </w:rPr>
        <w:t>4</w:t>
      </w:r>
      <w:r>
        <w:rPr>
          <w:rFonts w:hint="eastAsia" w:ascii="仿宋" w:hAnsi="仿宋" w:eastAsia="仿宋" w:cs="Times New Roman"/>
          <w:sz w:val="32"/>
          <w:shd w:val="clear" w:color="auto" w:fill="FFFFFF"/>
        </w:rPr>
        <w:t>年无政府性基金预算安排。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六、关于区规划中心（单位）202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按照综合预算原则，区规划中心（单位）所有收入和支出均纳入部门预算管理。收入包括：一般公共预算收入</w:t>
      </w:r>
      <w:r>
        <w:rPr>
          <w:rFonts w:hint="eastAsia" w:ascii="仿宋_GB2312" w:hAnsi="黑体" w:eastAsia="仿宋_GB2312"/>
          <w:sz w:val="32"/>
          <w:szCs w:val="32"/>
        </w:rPr>
        <w:t>；支出包括：社会保障和就业支出、卫生健康支出、城乡社区支出、住房保障支出。区规划中心</w:t>
      </w:r>
      <w:r>
        <w:rPr>
          <w:rFonts w:hint="eastAsia" w:ascii="仿宋_GB2312" w:hAnsi="黑体" w:eastAsia="仿宋_GB2312" w:cs="仿宋_GB2312"/>
          <w:sz w:val="32"/>
          <w:szCs w:val="32"/>
        </w:rPr>
        <w:t>（单位）202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七、关于区规划中心（单位）202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区规划中心（单位）202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万元，其中：一般公共预算收</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万元，占100%;上年结转0万元,政府性基金收入0万元；专项收入0万元。比上年预算数增加</w:t>
      </w:r>
      <w:r>
        <w:rPr>
          <w:rFonts w:hint="eastAsia" w:ascii="仿宋_GB2312" w:hAnsi="黑体" w:eastAsia="仿宋_GB2312"/>
          <w:sz w:val="32"/>
          <w:szCs w:val="32"/>
          <w:lang w:val="en-US" w:eastAsia="zh-CN"/>
        </w:rPr>
        <w:t>4.92</w:t>
      </w:r>
      <w:r>
        <w:rPr>
          <w:rFonts w:hint="eastAsia" w:ascii="仿宋_GB2312" w:hAnsi="黑体" w:eastAsia="仿宋_GB2312"/>
          <w:sz w:val="32"/>
          <w:szCs w:val="32"/>
        </w:rPr>
        <w:t>万元，主要是一般公共预算增加。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八、关于区规划中心（单位）202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区规划中心（单位）202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71.37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67.37</w:t>
      </w:r>
      <w:r>
        <w:rPr>
          <w:rFonts w:hint="eastAsia" w:ascii="仿宋_GB2312" w:hAnsi="黑体" w:eastAsia="仿宋_GB2312"/>
          <w:sz w:val="32"/>
          <w:szCs w:val="32"/>
        </w:rPr>
        <w:t>万元，占9</w:t>
      </w:r>
      <w:r>
        <w:rPr>
          <w:rFonts w:hint="eastAsia" w:ascii="仿宋_GB2312" w:hAnsi="黑体" w:eastAsia="仿宋_GB2312"/>
          <w:sz w:val="32"/>
          <w:szCs w:val="32"/>
          <w:lang w:val="en-US" w:eastAsia="zh-CN"/>
        </w:rPr>
        <w:t>4.4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w:t>
      </w:r>
      <w:r>
        <w:rPr>
          <w:rFonts w:hint="eastAsia" w:ascii="仿宋_GB2312" w:hAnsi="黑体" w:eastAsia="仿宋_GB2312"/>
          <w:sz w:val="32"/>
          <w:szCs w:val="32"/>
        </w:rPr>
        <w:t>元，占</w:t>
      </w:r>
      <w:r>
        <w:rPr>
          <w:rFonts w:hint="eastAsia" w:ascii="仿宋_GB2312" w:hAnsi="黑体" w:eastAsia="仿宋_GB2312"/>
          <w:sz w:val="32"/>
          <w:szCs w:val="32"/>
          <w:lang w:val="en-US" w:eastAsia="zh-CN"/>
        </w:rPr>
        <w:t>5.61</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4.92</w:t>
      </w:r>
      <w:r>
        <w:rPr>
          <w:rFonts w:hint="eastAsia" w:ascii="仿宋_GB2312" w:hAnsi="黑体" w:eastAsia="仿宋_GB2312"/>
          <w:sz w:val="32"/>
          <w:szCs w:val="32"/>
        </w:rPr>
        <w:t>万元，主要是社会保障和就业支出增加。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6"/>
        <w:ind w:firstLine="640"/>
        <w:jc w:val="left"/>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年海口市美兰区规划建设服务中心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5.94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年区规划中心</w:t>
      </w:r>
      <w:r>
        <w:rPr>
          <w:rFonts w:hint="eastAsia" w:ascii="仿宋_GB2312" w:hAnsi="黑体" w:eastAsia="仿宋_GB2312" w:cs="仿宋_GB2312"/>
          <w:sz w:val="32"/>
          <w:szCs w:val="32"/>
        </w:rPr>
        <w:t>（单位）政府采购预算总额0</w:t>
      </w:r>
      <w:r>
        <w:rPr>
          <w:rFonts w:hint="eastAsia" w:ascii="仿宋_GB2312" w:hAnsi="黑体" w:eastAsia="仿宋_GB2312"/>
          <w:sz w:val="32"/>
          <w:szCs w:val="32"/>
        </w:rPr>
        <w:t>万元，其中：政府采购货物预算0万元，政府采购工程预算0万元，政府采购服务预算0万元。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年12月31日，区规划中心</w:t>
      </w:r>
      <w:r>
        <w:rPr>
          <w:rFonts w:hint="eastAsia" w:ascii="仿宋_GB2312" w:hAnsi="黑体" w:eastAsia="仿宋_GB2312" w:cs="仿宋_GB2312"/>
          <w:sz w:val="32"/>
          <w:szCs w:val="32"/>
        </w:rPr>
        <w:t>（单位）共有车辆0辆，其中，领导干部用车0辆，机要通信应急用车0辆、一般执法执勤用车0辆、特种专业技术用车0辆、其他用车0辆。单位价值100万元以上设备0台（套）。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年区规划中心</w:t>
      </w:r>
      <w:r>
        <w:rPr>
          <w:rFonts w:hint="eastAsia" w:ascii="仿宋_GB2312" w:hAnsi="黑体" w:eastAsia="仿宋_GB2312" w:cs="仿宋_GB2312"/>
          <w:sz w:val="32"/>
          <w:szCs w:val="32"/>
        </w:rPr>
        <w:t>（单位）12个项目实行绩效目标管理，涉及一般公共预算</w:t>
      </w:r>
      <w:r>
        <w:rPr>
          <w:rFonts w:hint="eastAsia" w:ascii="仿宋_GB2312" w:hAnsi="黑体" w:eastAsia="仿宋_GB2312" w:cs="仿宋_GB2312"/>
          <w:sz w:val="32"/>
          <w:szCs w:val="32"/>
          <w:lang w:val="en-US" w:eastAsia="zh-CN"/>
        </w:rPr>
        <w:t>71.37</w:t>
      </w:r>
      <w:r>
        <w:rPr>
          <w:rFonts w:hint="eastAsia" w:ascii="仿宋_GB2312" w:hAnsi="黑体" w:eastAsia="仿宋_GB2312"/>
          <w:sz w:val="32"/>
          <w:szCs w:val="32"/>
        </w:rPr>
        <w:t>万元、政府性基金0万元。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第五部分  名词解释</w:t>
      </w:r>
      <w:bookmarkStart w:id="0" w:name="_GoBack"/>
      <w:bookmarkEnd w:id="0"/>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32640"/>
    <w:rsid w:val="000D2C73"/>
    <w:rsid w:val="0010366A"/>
    <w:rsid w:val="00111A9C"/>
    <w:rsid w:val="001140D5"/>
    <w:rsid w:val="001326C1"/>
    <w:rsid w:val="00173B57"/>
    <w:rsid w:val="001A0ECD"/>
    <w:rsid w:val="001A7472"/>
    <w:rsid w:val="002530AD"/>
    <w:rsid w:val="00283E6E"/>
    <w:rsid w:val="00293316"/>
    <w:rsid w:val="002956BC"/>
    <w:rsid w:val="002A59FA"/>
    <w:rsid w:val="002A6606"/>
    <w:rsid w:val="002E73B0"/>
    <w:rsid w:val="00315C2E"/>
    <w:rsid w:val="00343757"/>
    <w:rsid w:val="003847B6"/>
    <w:rsid w:val="00393D35"/>
    <w:rsid w:val="004313AB"/>
    <w:rsid w:val="00445F27"/>
    <w:rsid w:val="00446F41"/>
    <w:rsid w:val="004522A5"/>
    <w:rsid w:val="00474F12"/>
    <w:rsid w:val="004A1C49"/>
    <w:rsid w:val="00525863"/>
    <w:rsid w:val="00534FF9"/>
    <w:rsid w:val="00537B3F"/>
    <w:rsid w:val="0059423F"/>
    <w:rsid w:val="005C2065"/>
    <w:rsid w:val="00640059"/>
    <w:rsid w:val="00673280"/>
    <w:rsid w:val="006871F7"/>
    <w:rsid w:val="006B1FB3"/>
    <w:rsid w:val="006F0A60"/>
    <w:rsid w:val="007103B0"/>
    <w:rsid w:val="0072779D"/>
    <w:rsid w:val="0075151D"/>
    <w:rsid w:val="007523E7"/>
    <w:rsid w:val="00786240"/>
    <w:rsid w:val="00793A7F"/>
    <w:rsid w:val="007B3322"/>
    <w:rsid w:val="007E4EAF"/>
    <w:rsid w:val="008613F7"/>
    <w:rsid w:val="009262C2"/>
    <w:rsid w:val="00926751"/>
    <w:rsid w:val="009376D9"/>
    <w:rsid w:val="00947538"/>
    <w:rsid w:val="009616E6"/>
    <w:rsid w:val="00967FCC"/>
    <w:rsid w:val="00976B3F"/>
    <w:rsid w:val="00980F5D"/>
    <w:rsid w:val="009846A5"/>
    <w:rsid w:val="00995DA5"/>
    <w:rsid w:val="009F52FB"/>
    <w:rsid w:val="00A536B8"/>
    <w:rsid w:val="00A545A0"/>
    <w:rsid w:val="00BE5E34"/>
    <w:rsid w:val="00C34E1C"/>
    <w:rsid w:val="00C91D51"/>
    <w:rsid w:val="00CA7DBE"/>
    <w:rsid w:val="00CD7757"/>
    <w:rsid w:val="00D35757"/>
    <w:rsid w:val="00DC2680"/>
    <w:rsid w:val="00DC65EF"/>
    <w:rsid w:val="00DD3FD8"/>
    <w:rsid w:val="00E3389C"/>
    <w:rsid w:val="00E73A4A"/>
    <w:rsid w:val="00ED50D0"/>
    <w:rsid w:val="00ED6580"/>
    <w:rsid w:val="00ED799C"/>
    <w:rsid w:val="00F25501"/>
    <w:rsid w:val="00F458D8"/>
    <w:rsid w:val="00F76F02"/>
    <w:rsid w:val="00F91B44"/>
    <w:rsid w:val="00FA69D2"/>
    <w:rsid w:val="00FB0A31"/>
    <w:rsid w:val="00FF3698"/>
    <w:rsid w:val="016A3F2C"/>
    <w:rsid w:val="03535CE8"/>
    <w:rsid w:val="037A0AF1"/>
    <w:rsid w:val="04ED46A6"/>
    <w:rsid w:val="06FF0D9F"/>
    <w:rsid w:val="07D357D6"/>
    <w:rsid w:val="15C02759"/>
    <w:rsid w:val="19F05F65"/>
    <w:rsid w:val="1B7C39F8"/>
    <w:rsid w:val="1BBD7BF0"/>
    <w:rsid w:val="23441AFC"/>
    <w:rsid w:val="29243A6C"/>
    <w:rsid w:val="29A74883"/>
    <w:rsid w:val="2B921310"/>
    <w:rsid w:val="301D157D"/>
    <w:rsid w:val="32AE35E7"/>
    <w:rsid w:val="348F7F5A"/>
    <w:rsid w:val="351D1D56"/>
    <w:rsid w:val="35BB5D2B"/>
    <w:rsid w:val="38873FCC"/>
    <w:rsid w:val="3AB64941"/>
    <w:rsid w:val="3D9A67B9"/>
    <w:rsid w:val="3E9138B0"/>
    <w:rsid w:val="3F3B37EC"/>
    <w:rsid w:val="40055B6F"/>
    <w:rsid w:val="42C91012"/>
    <w:rsid w:val="437F22FA"/>
    <w:rsid w:val="47A53FDF"/>
    <w:rsid w:val="4CD2133C"/>
    <w:rsid w:val="51077B35"/>
    <w:rsid w:val="511135CB"/>
    <w:rsid w:val="58867050"/>
    <w:rsid w:val="58BF7BAD"/>
    <w:rsid w:val="5C6F2A0E"/>
    <w:rsid w:val="5CB931F2"/>
    <w:rsid w:val="5EB855B3"/>
    <w:rsid w:val="5F040C69"/>
    <w:rsid w:val="5F1A29E8"/>
    <w:rsid w:val="6183026E"/>
    <w:rsid w:val="6C8A460D"/>
    <w:rsid w:val="6ECC790A"/>
    <w:rsid w:val="7342034B"/>
    <w:rsid w:val="7D111B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627</Words>
  <Characters>3580</Characters>
  <Lines>29</Lines>
  <Paragraphs>8</Paragraphs>
  <TotalTime>346</TotalTime>
  <ScaleCrop>false</ScaleCrop>
  <LinksUpToDate>false</LinksUpToDate>
  <CharactersWithSpaces>4199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2024-02-29T08:17:13Z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559B04E9DA164957841FF69F98577F70</vt:lpwstr>
  </property>
</Properties>
</file>