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adjustRightInd w:val="0"/>
        <w:snapToGrid w:val="0"/>
        <w:spacing w:after="0" w:line="600" w:lineRule="exact"/>
        <w:rPr>
          <w:b/>
          <w:bCs/>
          <w:color w:val="000000"/>
          <w:sz w:val="44"/>
          <w:szCs w:val="44"/>
          <w:lang w:val="en-US" w:eastAsia="zh-CN"/>
        </w:rPr>
      </w:pPr>
      <w:bookmarkStart w:id="0" w:name="bookmark0"/>
      <w:bookmarkStart w:id="1" w:name="bookmark1"/>
      <w:bookmarkStart w:id="2" w:name="bookmark2"/>
      <w:r>
        <w:rPr>
          <w:rFonts w:hint="eastAsia"/>
          <w:b/>
          <w:bCs/>
          <w:color w:val="000000"/>
          <w:sz w:val="44"/>
          <w:szCs w:val="44"/>
          <w:lang w:val="en-US" w:eastAsia="zh-CN"/>
        </w:rPr>
        <w:t>海南于朝建筑材料有限公司</w:t>
      </w:r>
    </w:p>
    <w:p>
      <w:pPr>
        <w:pStyle w:val="9"/>
        <w:adjustRightInd w:val="0"/>
        <w:snapToGrid w:val="0"/>
        <w:spacing w:after="0" w:line="600" w:lineRule="exact"/>
        <w:rPr>
          <w:b/>
          <w:bCs/>
          <w:color w:val="000000"/>
          <w:sz w:val="44"/>
          <w:szCs w:val="44"/>
          <w:lang w:val="en-US" w:eastAsia="zh-CN"/>
        </w:rPr>
      </w:pPr>
      <w:r>
        <w:rPr>
          <w:rFonts w:hint="eastAsia"/>
          <w:b/>
          <w:bCs/>
          <w:color w:val="000000"/>
          <w:sz w:val="44"/>
          <w:szCs w:val="44"/>
          <w:lang w:val="zh-CN" w:eastAsia="zh-CN"/>
        </w:rPr>
        <w:t xml:space="preserve">“10 </w:t>
      </w:r>
      <w:r>
        <w:rPr>
          <w:rFonts w:hint="eastAsia"/>
          <w:b/>
          <w:bCs/>
          <w:color w:val="000000"/>
          <w:sz w:val="44"/>
          <w:szCs w:val="44"/>
          <w:lang w:val="en-US" w:eastAsia="zh-CN"/>
        </w:rPr>
        <w:t>.</w:t>
      </w:r>
      <w:r>
        <w:rPr>
          <w:rFonts w:hint="eastAsia"/>
          <w:b/>
          <w:bCs/>
          <w:color w:val="000000"/>
          <w:sz w:val="44"/>
          <w:szCs w:val="44"/>
          <w:lang w:val="zh-CN" w:eastAsia="zh-CN"/>
        </w:rPr>
        <w:t xml:space="preserve">15” </w:t>
      </w:r>
      <w:r>
        <w:rPr>
          <w:rFonts w:hint="eastAsia"/>
          <w:b/>
          <w:bCs/>
          <w:color w:val="000000"/>
          <w:sz w:val="44"/>
          <w:szCs w:val="44"/>
          <w:lang w:val="en-US" w:eastAsia="zh-CN"/>
        </w:rPr>
        <w:t>触电事故调查报告</w:t>
      </w:r>
      <w:bookmarkEnd w:id="0"/>
      <w:bookmarkEnd w:id="1"/>
      <w:bookmarkEnd w:id="2"/>
    </w:p>
    <w:p>
      <w:pPr>
        <w:pStyle w:val="6"/>
        <w:autoSpaceDE w:val="0"/>
        <w:autoSpaceDN w:val="0"/>
        <w:adjustRightInd w:val="0"/>
        <w:snapToGrid w:val="0"/>
        <w:spacing w:line="360" w:lineRule="auto"/>
        <w:ind w:firstLine="640" w:firstLineChars="200"/>
        <w:jc w:val="both"/>
        <w:rPr>
          <w:rFonts w:ascii="宋体" w:hAnsi="宋体" w:eastAsia="宋体" w:cs="宋体"/>
          <w:sz w:val="32"/>
          <w:szCs w:val="32"/>
        </w:rPr>
      </w:pPr>
    </w:p>
    <w:p>
      <w:pPr>
        <w:pStyle w:val="6"/>
        <w:autoSpaceDE w:val="0"/>
        <w:autoSpaceDN w:val="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2021年10月15日上午9时左右，海口市美兰区新埠岛海南于朝建筑材料有限公司砂场围墙内发生一起触电亡人事故，造成1名工人死亡。</w:t>
      </w:r>
      <w:r>
        <w:rPr>
          <w:rFonts w:hint="eastAsia" w:ascii="仿宋_GB2312" w:hAnsi="华文仿宋" w:eastAsia="仿宋_GB2312" w:cs="仿宋_GB2312"/>
          <w:sz w:val="32"/>
          <w:szCs w:val="32"/>
        </w:rPr>
        <w:t>为了查清事故发生的经过、原因及性质</w:t>
      </w:r>
      <w:r>
        <w:rPr>
          <w:rFonts w:hint="eastAsia" w:ascii="仿宋" w:hAnsi="仿宋" w:eastAsia="仿宋" w:cs="仿宋"/>
          <w:sz w:val="32"/>
          <w:szCs w:val="32"/>
          <w:lang w:val="zh-CN"/>
        </w:rPr>
        <w:t>，</w:t>
      </w:r>
      <w:r>
        <w:rPr>
          <w:rFonts w:hint="eastAsia" w:ascii="仿宋" w:hAnsi="仿宋" w:eastAsia="仿宋" w:cs="仿宋"/>
          <w:sz w:val="32"/>
          <w:szCs w:val="32"/>
        </w:rPr>
        <w:t>美兰区政府根据《生产安全事故报告和调查处理条例》（国务院493号令）</w:t>
      </w:r>
      <w:r>
        <w:rPr>
          <w:rFonts w:hint="eastAsia" w:ascii="仿宋" w:hAnsi="仿宋" w:eastAsia="仿宋" w:cs="仿宋"/>
          <w:sz w:val="32"/>
          <w:szCs w:val="32"/>
          <w:lang w:val="zh-CN"/>
        </w:rPr>
        <w:t>的规定，批准成立由美兰区应急管理局</w:t>
      </w:r>
      <w:r>
        <w:rPr>
          <w:rFonts w:hint="eastAsia" w:ascii="仿宋" w:hAnsi="仿宋" w:eastAsia="仿宋" w:cs="仿宋"/>
          <w:sz w:val="32"/>
          <w:szCs w:val="32"/>
        </w:rPr>
        <w:t>牵头，区科工信局、市综合行政执法局美兰分局、市市场监督管理局美兰分局、市公安局美兰分局，区纪委监委、区总工会、新埠街道办派员参加的事故调查组，同时邀请区检察院派员和聘请相关专家参与</w:t>
      </w:r>
      <w:r>
        <w:rPr>
          <w:rFonts w:hint="eastAsia" w:ascii="仿宋" w:hAnsi="仿宋" w:eastAsia="仿宋" w:cs="仿宋"/>
          <w:sz w:val="32"/>
          <w:szCs w:val="32"/>
          <w:lang w:val="zh-CN"/>
        </w:rPr>
        <w:t>事故调查</w:t>
      </w:r>
      <w:r>
        <w:rPr>
          <w:rFonts w:hint="eastAsia" w:ascii="仿宋" w:hAnsi="仿宋" w:eastAsia="仿宋" w:cs="仿宋"/>
          <w:sz w:val="32"/>
          <w:szCs w:val="32"/>
        </w:rPr>
        <w:t>。</w:t>
      </w:r>
    </w:p>
    <w:p>
      <w:pPr>
        <w:pStyle w:val="10"/>
        <w:adjustRightInd w:val="0"/>
        <w:snapToGrid w:val="0"/>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事故调查组坚持“科学严谨、实事求是、依法依规”</w:t>
      </w:r>
      <w:r>
        <w:rPr>
          <w:rFonts w:hint="eastAsia" w:ascii="仿宋_GB2312" w:hAnsi="仿宋_GB2312" w:eastAsia="仿宋_GB2312" w:cs="仿宋_GB2312"/>
          <w:sz w:val="32"/>
          <w:szCs w:val="32"/>
          <w:lang w:eastAsia="zh-CN"/>
        </w:rPr>
        <w:t>和“四不放过”</w:t>
      </w:r>
      <w:r>
        <w:rPr>
          <w:rFonts w:hint="eastAsia" w:ascii="仿宋_GB2312" w:hAnsi="仿宋_GB2312" w:eastAsia="仿宋_GB2312" w:cs="仿宋_GB2312"/>
          <w:sz w:val="32"/>
          <w:szCs w:val="32"/>
        </w:rPr>
        <w:t>的原则，深入开展</w:t>
      </w:r>
      <w:r>
        <w:rPr>
          <w:rFonts w:hint="eastAsia" w:ascii="仿宋_GB2312" w:hAnsi="仿宋_GB2312" w:eastAsia="仿宋_GB2312" w:cs="仿宋_GB2312"/>
          <w:sz w:val="32"/>
          <w:szCs w:val="32"/>
          <w:lang w:eastAsia="zh-CN"/>
        </w:rPr>
        <w:t>事故</w:t>
      </w:r>
      <w:r>
        <w:rPr>
          <w:rFonts w:hint="eastAsia" w:ascii="仿宋_GB2312" w:hAnsi="仿宋_GB2312" w:eastAsia="仿宋_GB2312" w:cs="仿宋_GB2312"/>
          <w:sz w:val="32"/>
          <w:szCs w:val="32"/>
        </w:rPr>
        <w:t>调查工作。通过现场勘验、调查取证、</w:t>
      </w:r>
      <w:r>
        <w:rPr>
          <w:rFonts w:hint="eastAsia" w:ascii="仿宋_GB2312" w:hAnsi="仿宋_GB2312" w:eastAsia="仿宋_GB2312" w:cs="仿宋_GB2312"/>
          <w:sz w:val="32"/>
          <w:szCs w:val="32"/>
          <w:lang w:eastAsia="zh-CN"/>
        </w:rPr>
        <w:t>询问相关人员、</w:t>
      </w:r>
      <w:r>
        <w:rPr>
          <w:rFonts w:hint="eastAsia" w:ascii="仿宋_GB2312" w:hAnsi="仿宋_GB2312" w:eastAsia="仿宋_GB2312" w:cs="仿宋_GB2312"/>
          <w:sz w:val="32"/>
          <w:szCs w:val="32"/>
        </w:rPr>
        <w:t>专家论证，查明了事故经过、</w:t>
      </w:r>
      <w:r>
        <w:rPr>
          <w:rFonts w:hint="eastAsia" w:ascii="仿宋_GB2312" w:hAnsi="仿宋_GB2312" w:eastAsia="仿宋_GB2312" w:cs="仿宋_GB2312"/>
          <w:sz w:val="32"/>
          <w:szCs w:val="32"/>
          <w:lang w:eastAsia="zh-CN"/>
        </w:rPr>
        <w:t>发生事故的</w:t>
      </w:r>
      <w:r>
        <w:rPr>
          <w:rFonts w:hint="eastAsia" w:ascii="仿宋_GB2312" w:hAnsi="仿宋_GB2312" w:eastAsia="仿宋_GB2312" w:cs="仿宋_GB2312"/>
          <w:sz w:val="32"/>
          <w:szCs w:val="32"/>
        </w:rPr>
        <w:t>原因、人员伤亡和直接经济损失，认定了事故性质和责任，提出了对责任单位和有关责任人员的处理建议，指出事故单位存在的突出问题和应该吸取的深刻教训，提出了整改措施。现将事故调查情况及处理意见报告如下：</w:t>
      </w:r>
    </w:p>
    <w:p>
      <w:pPr>
        <w:pStyle w:val="10"/>
        <w:adjustRightInd w:val="0"/>
        <w:snapToGrid w:val="0"/>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一、事故单位概况</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（一）事故发生单位概况</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val="en-US" w:eastAsia="zh-CN"/>
        </w:rPr>
        <w:t>海南于朝建筑材料有限公司成立于</w:t>
      </w:r>
      <w:r>
        <w:rPr>
          <w:rFonts w:ascii="仿宋" w:hAnsi="仿宋" w:eastAsia="仿宋" w:cs="仿宋"/>
          <w:sz w:val="32"/>
          <w:szCs w:val="32"/>
          <w:lang w:val="en-US" w:eastAsia="zh-CN"/>
        </w:rPr>
        <w:t>2019</w:t>
      </w:r>
      <w:r>
        <w:rPr>
          <w:rFonts w:hint="eastAsia" w:ascii="仿宋" w:hAnsi="仿宋" w:eastAsia="仿宋" w:cs="仿宋"/>
          <w:sz w:val="32"/>
          <w:szCs w:val="32"/>
          <w:lang w:val="en-US" w:eastAsia="zh-CN"/>
        </w:rPr>
        <w:t>年</w:t>
      </w:r>
      <w:r>
        <w:rPr>
          <w:rFonts w:ascii="仿宋" w:hAnsi="仿宋" w:eastAsia="仿宋" w:cs="仿宋"/>
          <w:sz w:val="32"/>
          <w:szCs w:val="32"/>
          <w:lang w:val="en-US" w:eastAsia="zh-CN"/>
        </w:rPr>
        <w:t>06</w:t>
      </w:r>
      <w:r>
        <w:rPr>
          <w:rFonts w:hint="eastAsia" w:ascii="仿宋" w:hAnsi="仿宋" w:eastAsia="仿宋" w:cs="仿宋"/>
          <w:sz w:val="32"/>
          <w:szCs w:val="32"/>
          <w:lang w:val="en-US" w:eastAsia="zh-CN"/>
        </w:rPr>
        <w:t>月</w:t>
      </w:r>
      <w:r>
        <w:rPr>
          <w:rFonts w:ascii="仿宋" w:hAnsi="仿宋" w:eastAsia="仿宋" w:cs="仿宋"/>
          <w:sz w:val="32"/>
          <w:szCs w:val="32"/>
          <w:lang w:val="en-US" w:eastAsia="zh-CN"/>
        </w:rPr>
        <w:t>12</w:t>
      </w:r>
      <w:r>
        <w:rPr>
          <w:rFonts w:hint="eastAsia" w:ascii="仿宋" w:hAnsi="仿宋" w:eastAsia="仿宋" w:cs="仿宋"/>
          <w:sz w:val="32"/>
          <w:szCs w:val="32"/>
          <w:lang w:val="en-US" w:eastAsia="zh-CN"/>
        </w:rPr>
        <w:t>日，注册资金</w:t>
      </w:r>
      <w:r>
        <w:rPr>
          <w:rFonts w:ascii="仿宋" w:hAnsi="仿宋" w:eastAsia="仿宋" w:cs="仿宋"/>
          <w:sz w:val="32"/>
          <w:szCs w:val="32"/>
          <w:lang w:val="en-US" w:eastAsia="zh-CN"/>
        </w:rPr>
        <w:t>100</w:t>
      </w:r>
      <w:r>
        <w:rPr>
          <w:rFonts w:hint="eastAsia" w:ascii="仿宋" w:hAnsi="仿宋" w:eastAsia="仿宋" w:cs="仿宋"/>
          <w:sz w:val="32"/>
          <w:szCs w:val="32"/>
          <w:lang w:val="en-US" w:eastAsia="zh-CN"/>
        </w:rPr>
        <w:t>万元，法定代表人谢于朝（</w:t>
      </w:r>
      <w:r>
        <w:rPr>
          <w:rFonts w:hint="eastAsia" w:ascii="仿宋" w:hAnsi="仿宋" w:eastAsia="仿宋" w:cs="仿宋"/>
          <w:sz w:val="32"/>
          <w:szCs w:val="32"/>
        </w:rPr>
        <w:t>男，</w:t>
      </w:r>
      <w:r>
        <w:rPr>
          <w:rFonts w:hint="eastAsia" w:ascii="仿宋" w:hAnsi="仿宋" w:eastAsia="仿宋" w:cs="仿宋"/>
          <w:sz w:val="32"/>
          <w:szCs w:val="32"/>
          <w:lang w:val="en-US" w:eastAsia="zh-CN"/>
        </w:rPr>
        <w:t>海南省琼海市</w:t>
      </w:r>
      <w:r>
        <w:rPr>
          <w:rFonts w:hint="eastAsia" w:ascii="仿宋" w:hAnsi="仿宋" w:eastAsia="仿宋" w:cs="仿宋"/>
          <w:sz w:val="32"/>
          <w:szCs w:val="32"/>
        </w:rPr>
        <w:t>人，身份证号码：4</w:t>
      </w:r>
      <w:r>
        <w:rPr>
          <w:rFonts w:hint="eastAsia" w:ascii="仿宋" w:hAnsi="仿宋" w:eastAsia="仿宋" w:cs="仿宋"/>
          <w:sz w:val="32"/>
          <w:szCs w:val="32"/>
          <w:lang w:val="en-US" w:eastAsia="zh-CN"/>
        </w:rPr>
        <w:t>60023196****54137）</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统一社会信用代码：</w:t>
      </w:r>
      <w:r>
        <w:rPr>
          <w:rFonts w:ascii="仿宋" w:hAnsi="仿宋" w:eastAsia="仿宋" w:cs="仿宋"/>
          <w:sz w:val="32"/>
          <w:szCs w:val="32"/>
          <w:lang w:val="en-US" w:eastAsia="zh-CN"/>
        </w:rPr>
        <w:t>91460000MA5TAEDN62</w:t>
      </w:r>
      <w:r>
        <w:rPr>
          <w:rFonts w:hint="eastAsia" w:ascii="仿宋" w:hAnsi="仿宋" w:eastAsia="仿宋" w:cs="仿宋"/>
          <w:sz w:val="32"/>
          <w:szCs w:val="32"/>
          <w:lang w:val="en-US" w:eastAsia="zh-CN"/>
        </w:rPr>
        <w:t>，注册地址：海口市美兰区美祥东路金源小区</w:t>
      </w:r>
      <w:r>
        <w:rPr>
          <w:rFonts w:ascii="仿宋" w:hAnsi="仿宋" w:eastAsia="仿宋" w:cs="仿宋"/>
          <w:sz w:val="32"/>
          <w:szCs w:val="32"/>
          <w:lang w:val="en-US" w:eastAsia="zh-CN"/>
        </w:rPr>
        <w:t>A</w:t>
      </w:r>
      <w:r>
        <w:rPr>
          <w:rFonts w:hint="eastAsia" w:ascii="仿宋" w:hAnsi="仿宋" w:eastAsia="仿宋" w:cs="仿宋"/>
          <w:sz w:val="32"/>
          <w:szCs w:val="32"/>
          <w:lang w:val="en-US" w:eastAsia="zh-CN"/>
        </w:rPr>
        <w:t>栋</w:t>
      </w:r>
      <w:r>
        <w:rPr>
          <w:rFonts w:ascii="仿宋" w:hAnsi="仿宋" w:eastAsia="仿宋" w:cs="仿宋"/>
          <w:sz w:val="32"/>
          <w:szCs w:val="32"/>
          <w:lang w:val="en-US" w:eastAsia="zh-CN"/>
        </w:rPr>
        <w:t>1507</w:t>
      </w:r>
      <w:r>
        <w:rPr>
          <w:rFonts w:hint="eastAsia" w:ascii="仿宋" w:hAnsi="仿宋" w:eastAsia="仿宋" w:cs="仿宋"/>
          <w:sz w:val="32"/>
          <w:szCs w:val="32"/>
          <w:lang w:val="en-US" w:eastAsia="zh-CN"/>
        </w:rPr>
        <w:t>房</w:t>
      </w:r>
      <w:bookmarkStart w:id="3" w:name="_GoBack"/>
      <w:bookmarkEnd w:id="3"/>
      <w:r>
        <w:rPr>
          <w:rFonts w:hint="eastAsia" w:ascii="仿宋" w:hAnsi="仿宋" w:eastAsia="仿宋" w:cs="仿宋"/>
          <w:sz w:val="32"/>
          <w:szCs w:val="32"/>
          <w:lang w:val="en-US" w:eastAsia="zh-CN"/>
        </w:rPr>
        <w:t>，经营范围包含：批发建材，批发石、砖、瓦、砂、批发石材、批发建筑用砂、批发水泥产品和制品、批发石灰、石膏产品及制品、零售装饰装修材料、用品，其他综合零售。</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w:t>
      </w:r>
      <w:r>
        <w:rPr>
          <w:rFonts w:hint="eastAsia" w:ascii="仿宋" w:hAnsi="仿宋" w:eastAsia="仿宋" w:cs="仿宋"/>
          <w:sz w:val="32"/>
          <w:szCs w:val="32"/>
        </w:rPr>
        <w:t>事故相关单位</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　海南电网有限责任公司海口供电局</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海口供电局美兰供电所是</w:t>
      </w:r>
      <w:r>
        <w:rPr>
          <w:rFonts w:hint="eastAsia" w:ascii="仿宋" w:hAnsi="仿宋" w:eastAsia="仿宋" w:cs="仿宋"/>
          <w:sz w:val="32"/>
          <w:szCs w:val="32"/>
          <w:lang w:eastAsia="zh-CN"/>
        </w:rPr>
        <w:t>其</w:t>
      </w:r>
      <w:r>
        <w:rPr>
          <w:rFonts w:hint="eastAsia" w:ascii="仿宋" w:hAnsi="仿宋" w:eastAsia="仿宋" w:cs="仿宋"/>
          <w:sz w:val="32"/>
          <w:szCs w:val="32"/>
        </w:rPr>
        <w:t>下属单位，</w:t>
      </w:r>
      <w:r>
        <w:rPr>
          <w:rFonts w:hint="eastAsia" w:ascii="仿宋" w:hAnsi="仿宋" w:eastAsia="仿宋" w:cs="仿宋"/>
          <w:sz w:val="32"/>
          <w:szCs w:val="32"/>
          <w:lang w:val="en-US" w:eastAsia="zh-CN"/>
        </w:rPr>
        <w:t>负责辖区内10KV线路及设备的巡视检查与维护</w:t>
      </w:r>
      <w:r>
        <w:rPr>
          <w:rFonts w:hint="eastAsia" w:ascii="仿宋" w:hAnsi="仿宋" w:eastAsia="仿宋" w:cs="仿宋"/>
          <w:sz w:val="32"/>
          <w:szCs w:val="32"/>
        </w:rPr>
        <w:t>。</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lang w:val="en-US" w:eastAsia="zh-CN"/>
        </w:rPr>
        <w:t>海口市市政工程维修公司（以下简称市政工程维修公司），海口市市政管理局下属事业单位，公司住所位于海口市美兰区新埠岛，是</w:t>
      </w:r>
      <w:r>
        <w:rPr>
          <w:rFonts w:ascii="仿宋" w:hAnsi="仿宋" w:eastAsia="仿宋" w:cs="仿宋"/>
          <w:sz w:val="32"/>
          <w:szCs w:val="32"/>
          <w:lang w:val="en-US" w:eastAsia="zh-CN"/>
        </w:rPr>
        <w:t>10KV</w:t>
      </w:r>
      <w:r>
        <w:rPr>
          <w:rFonts w:hint="eastAsia" w:ascii="仿宋" w:hAnsi="仿宋" w:eastAsia="仿宋" w:cs="仿宋"/>
          <w:sz w:val="32"/>
          <w:szCs w:val="32"/>
          <w:lang w:val="en-US" w:eastAsia="zh-CN"/>
        </w:rPr>
        <w:t>新埠</w:t>
      </w:r>
      <w:r>
        <w:rPr>
          <w:rFonts w:ascii="仿宋" w:hAnsi="仿宋" w:eastAsia="仿宋" w:cs="仿宋"/>
          <w:sz w:val="32"/>
          <w:szCs w:val="32"/>
          <w:lang w:val="en-US" w:eastAsia="zh-CN"/>
        </w:rPr>
        <w:t>4#</w:t>
      </w:r>
      <w:r>
        <w:rPr>
          <w:rFonts w:hint="eastAsia" w:ascii="仿宋" w:hAnsi="仿宋" w:eastAsia="仿宋" w:cs="仿宋"/>
          <w:sz w:val="32"/>
          <w:szCs w:val="32"/>
          <w:lang w:val="en-US" w:eastAsia="zh-CN"/>
        </w:rPr>
        <w:t>线燃气分支</w:t>
      </w:r>
      <w:r>
        <w:rPr>
          <w:rFonts w:ascii="仿宋" w:hAnsi="仿宋" w:eastAsia="仿宋" w:cs="仿宋"/>
          <w:sz w:val="32"/>
          <w:szCs w:val="32"/>
          <w:lang w:val="en-US" w:eastAsia="zh-CN"/>
        </w:rPr>
        <w:t>9#</w:t>
      </w:r>
      <w:r>
        <w:rPr>
          <w:rFonts w:hint="eastAsia" w:ascii="仿宋" w:hAnsi="仿宋" w:eastAsia="仿宋" w:cs="仿宋"/>
          <w:sz w:val="32"/>
          <w:szCs w:val="32"/>
          <w:lang w:val="en-US" w:eastAsia="zh-CN"/>
        </w:rPr>
        <w:t>杆至海口市市政工程维修公司专线跌落开关的产权单位。主要负责海口市市政工程的维修。</w:t>
      </w:r>
    </w:p>
    <w:p>
      <w:pPr>
        <w:pStyle w:val="10"/>
        <w:adjustRightInd w:val="0"/>
        <w:snapToGrid w:val="0"/>
        <w:spacing w:line="360" w:lineRule="auto"/>
        <w:ind w:firstLine="640" w:firstLineChars="200"/>
        <w:jc w:val="both"/>
        <w:rPr>
          <w:rFonts w:ascii="黑体" w:hAnsi="黑体" w:eastAsia="黑体" w:cs="黑体"/>
          <w:sz w:val="32"/>
          <w:szCs w:val="32"/>
        </w:rPr>
      </w:pPr>
      <w:r>
        <w:rPr>
          <w:rFonts w:hint="eastAsia" w:ascii="黑体" w:hAnsi="黑体" w:eastAsia="黑体" w:cs="黑体"/>
          <w:sz w:val="32"/>
          <w:szCs w:val="32"/>
        </w:rPr>
        <w:t>二、事故发生经过和事故救援情况</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（一）事故发生经过</w:t>
      </w:r>
      <w:r>
        <w:rPr>
          <w:rFonts w:hint="eastAsia" w:ascii="仿宋" w:hAnsi="仿宋" w:eastAsia="仿宋" w:cs="仿宋"/>
          <w:sz w:val="32"/>
          <w:szCs w:val="32"/>
          <w:lang w:eastAsia="zh-CN"/>
        </w:rPr>
        <w:t>及</w:t>
      </w:r>
      <w:r>
        <w:rPr>
          <w:rFonts w:hint="eastAsia" w:ascii="仿宋" w:hAnsi="仿宋" w:eastAsia="仿宋" w:cs="仿宋"/>
          <w:sz w:val="32"/>
          <w:szCs w:val="32"/>
        </w:rPr>
        <w:t>救援情况</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年1</w:t>
      </w:r>
      <w:r>
        <w:rPr>
          <w:rFonts w:hint="eastAsia" w:ascii="仿宋" w:hAnsi="仿宋" w:eastAsia="仿宋" w:cs="仿宋"/>
          <w:sz w:val="32"/>
          <w:szCs w:val="32"/>
          <w:lang w:val="en-US" w:eastAsia="zh-CN"/>
        </w:rPr>
        <w:t>0</w:t>
      </w:r>
      <w:r>
        <w:rPr>
          <w:rFonts w:hint="eastAsia" w:ascii="仿宋" w:hAnsi="仿宋" w:eastAsia="仿宋" w:cs="仿宋"/>
          <w:sz w:val="32"/>
          <w:szCs w:val="32"/>
        </w:rPr>
        <w:t>月</w:t>
      </w:r>
      <w:r>
        <w:rPr>
          <w:rFonts w:hint="eastAsia" w:ascii="仿宋" w:hAnsi="仿宋" w:eastAsia="仿宋" w:cs="仿宋"/>
          <w:sz w:val="32"/>
          <w:szCs w:val="32"/>
          <w:lang w:val="en-US" w:eastAsia="zh-CN"/>
        </w:rPr>
        <w:t>15</w:t>
      </w:r>
      <w:r>
        <w:rPr>
          <w:rFonts w:hint="eastAsia" w:ascii="仿宋" w:hAnsi="仿宋" w:eastAsia="仿宋" w:cs="仿宋"/>
          <w:sz w:val="32"/>
          <w:szCs w:val="32"/>
        </w:rPr>
        <w:t>日</w:t>
      </w:r>
      <w:r>
        <w:rPr>
          <w:rFonts w:hint="eastAsia" w:ascii="仿宋" w:hAnsi="仿宋" w:eastAsia="仿宋" w:cs="仿宋"/>
          <w:sz w:val="32"/>
          <w:szCs w:val="32"/>
          <w:lang w:val="en-US" w:eastAsia="zh-CN"/>
        </w:rPr>
        <w:t>9</w:t>
      </w:r>
      <w:r>
        <w:rPr>
          <w:rFonts w:hint="eastAsia" w:ascii="仿宋" w:hAnsi="仿宋" w:eastAsia="仿宋" w:cs="仿宋"/>
          <w:sz w:val="32"/>
          <w:szCs w:val="32"/>
        </w:rPr>
        <w:t>时许，</w:t>
      </w:r>
      <w:r>
        <w:rPr>
          <w:rFonts w:hint="eastAsia" w:ascii="仿宋" w:hAnsi="仿宋" w:eastAsia="仿宋" w:cs="仿宋"/>
          <w:sz w:val="32"/>
          <w:szCs w:val="32"/>
          <w:lang w:val="en-US" w:eastAsia="zh-CN"/>
        </w:rPr>
        <w:t>砂场</w:t>
      </w:r>
      <w:r>
        <w:rPr>
          <w:rFonts w:hint="eastAsia" w:ascii="仿宋" w:hAnsi="仿宋" w:eastAsia="仿宋" w:cs="仿宋"/>
          <w:sz w:val="32"/>
          <w:szCs w:val="32"/>
        </w:rPr>
        <w:t>工人</w:t>
      </w:r>
      <w:r>
        <w:rPr>
          <w:rFonts w:hint="eastAsia" w:ascii="仿宋" w:hAnsi="仿宋" w:eastAsia="仿宋" w:cs="仿宋"/>
          <w:sz w:val="32"/>
          <w:szCs w:val="32"/>
          <w:lang w:val="en-US" w:eastAsia="zh-CN"/>
        </w:rPr>
        <w:t>吉国冲与谢东兴受砂场现场</w:t>
      </w:r>
      <w:r>
        <w:rPr>
          <w:rFonts w:hint="eastAsia" w:ascii="仿宋" w:hAnsi="仿宋" w:eastAsia="仿宋" w:cs="仿宋"/>
          <w:sz w:val="32"/>
          <w:szCs w:val="32"/>
        </w:rPr>
        <w:t>负责人</w:t>
      </w:r>
      <w:r>
        <w:rPr>
          <w:rFonts w:hint="eastAsia" w:ascii="仿宋" w:hAnsi="仿宋" w:eastAsia="仿宋" w:cs="仿宋"/>
          <w:sz w:val="32"/>
          <w:szCs w:val="32"/>
          <w:lang w:val="en-US" w:eastAsia="zh-CN"/>
        </w:rPr>
        <w:t>吉爱友指派将砂场周边被台风吹倒的围墙铁皮档板收拾整理好，两人作业时都赤脚，吉国冲戴布质手套，未戴手套，地面潮湿。当两人在整理至靠近10KV线路电杆下的围墙档板</w:t>
      </w:r>
      <w:r>
        <w:rPr>
          <w:rFonts w:hint="eastAsia" w:ascii="仿宋" w:hAnsi="仿宋" w:eastAsia="仿宋" w:cs="仿宋"/>
          <w:sz w:val="32"/>
          <w:szCs w:val="32"/>
        </w:rPr>
        <w:t>时，</w:t>
      </w:r>
      <w:r>
        <w:rPr>
          <w:rFonts w:hint="eastAsia" w:ascii="仿宋" w:hAnsi="仿宋" w:eastAsia="仿宋" w:cs="仿宋"/>
          <w:sz w:val="32"/>
          <w:szCs w:val="32"/>
          <w:lang w:eastAsia="zh-CN"/>
        </w:rPr>
        <w:t>在搬运角铁过程</w:t>
      </w:r>
      <w:r>
        <w:rPr>
          <w:rFonts w:hint="eastAsia" w:ascii="仿宋" w:hAnsi="仿宋" w:eastAsia="仿宋" w:cs="仿宋"/>
          <w:sz w:val="32"/>
          <w:szCs w:val="32"/>
          <w:lang w:val="en-US" w:eastAsia="zh-CN"/>
        </w:rPr>
        <w:t>吉国冲手持的一根角铁</w:t>
      </w:r>
      <w:r>
        <w:rPr>
          <w:rFonts w:hint="eastAsia" w:ascii="仿宋" w:hAnsi="仿宋" w:eastAsia="仿宋" w:cs="仿宋"/>
          <w:sz w:val="32"/>
          <w:szCs w:val="32"/>
        </w:rPr>
        <w:t>不慎</w:t>
      </w:r>
      <w:r>
        <w:rPr>
          <w:rFonts w:hint="eastAsia" w:ascii="仿宋" w:hAnsi="仿宋" w:eastAsia="仿宋" w:cs="仿宋"/>
          <w:sz w:val="32"/>
          <w:szCs w:val="32"/>
          <w:lang w:val="en-US" w:eastAsia="zh-CN"/>
        </w:rPr>
        <w:t>碰触10KV新埠4#线燃气分支9#杆至海口市市政工程维修公司专线跌落式开关下端，吉国冲</w:t>
      </w:r>
      <w:r>
        <w:rPr>
          <w:rFonts w:hint="eastAsia" w:ascii="仿宋" w:hAnsi="仿宋" w:eastAsia="仿宋" w:cs="仿宋"/>
          <w:sz w:val="32"/>
          <w:szCs w:val="32"/>
        </w:rPr>
        <w:t>触电被击</w:t>
      </w:r>
      <w:r>
        <w:rPr>
          <w:rFonts w:hint="eastAsia" w:ascii="仿宋" w:hAnsi="仿宋" w:eastAsia="仿宋" w:cs="仿宋"/>
          <w:sz w:val="32"/>
          <w:szCs w:val="32"/>
          <w:lang w:val="en-US" w:eastAsia="zh-CN"/>
        </w:rPr>
        <w:t>倒在地上；谢东兴也被放电击到并弹飞下砂堆，但无大碍，很快就苏醒过来</w:t>
      </w:r>
      <w:r>
        <w:rPr>
          <w:rFonts w:hint="eastAsia" w:ascii="仿宋" w:hAnsi="仿宋" w:eastAsia="仿宋" w:cs="仿宋"/>
          <w:sz w:val="32"/>
          <w:szCs w:val="32"/>
          <w:lang w:eastAsia="zh-CN"/>
        </w:rPr>
        <w:t>。谢东兴起来后发现吉国冲倒地未起且脚有被电击伤痕，</w:t>
      </w:r>
      <w:r>
        <w:rPr>
          <w:rFonts w:hint="eastAsia" w:ascii="仿宋" w:hAnsi="仿宋" w:eastAsia="仿宋" w:cs="仿宋"/>
          <w:sz w:val="32"/>
          <w:szCs w:val="32"/>
          <w:lang w:val="en-US" w:eastAsia="zh-CN"/>
        </w:rPr>
        <w:t>马上</w:t>
      </w:r>
      <w:r>
        <w:rPr>
          <w:rFonts w:hint="eastAsia" w:ascii="仿宋" w:hAnsi="仿宋" w:eastAsia="仿宋" w:cs="仿宋"/>
          <w:sz w:val="32"/>
          <w:szCs w:val="32"/>
        </w:rPr>
        <w:t>拨打了</w:t>
      </w:r>
      <w:r>
        <w:rPr>
          <w:rFonts w:hint="eastAsia" w:ascii="仿宋" w:hAnsi="仿宋" w:eastAsia="仿宋" w:cs="仿宋"/>
          <w:sz w:val="32"/>
          <w:szCs w:val="32"/>
          <w:lang w:eastAsia="zh-CN"/>
        </w:rPr>
        <w:t>吉爱友的电话，吉爱友几分钟后赶到事故现场并拔打</w:t>
      </w:r>
      <w:r>
        <w:rPr>
          <w:rFonts w:hint="eastAsia" w:ascii="仿宋" w:hAnsi="仿宋" w:eastAsia="仿宋" w:cs="仿宋"/>
          <w:sz w:val="32"/>
          <w:szCs w:val="32"/>
        </w:rPr>
        <w:t>120急救电话，然后</w:t>
      </w:r>
      <w:r>
        <w:rPr>
          <w:rFonts w:hint="eastAsia" w:ascii="仿宋" w:hAnsi="仿宋" w:eastAsia="仿宋" w:cs="仿宋"/>
          <w:sz w:val="32"/>
          <w:szCs w:val="32"/>
          <w:lang w:eastAsia="zh-CN"/>
        </w:rPr>
        <w:t>10几分钟后</w:t>
      </w:r>
      <w:r>
        <w:rPr>
          <w:rFonts w:hint="eastAsia" w:ascii="仿宋" w:hAnsi="仿宋" w:eastAsia="仿宋" w:cs="仿宋"/>
          <w:sz w:val="32"/>
          <w:szCs w:val="32"/>
          <w:lang w:val="en-US" w:eastAsia="zh-CN"/>
        </w:rPr>
        <w:t>120救护人员赶到现场组织对吉国冲进行抢救，</w:t>
      </w:r>
      <w:r>
        <w:rPr>
          <w:rFonts w:hint="eastAsia" w:ascii="仿宋" w:hAnsi="仿宋" w:eastAsia="仿宋" w:cs="仿宋"/>
          <w:sz w:val="32"/>
          <w:szCs w:val="32"/>
        </w:rPr>
        <w:t>救护车将</w:t>
      </w:r>
      <w:r>
        <w:rPr>
          <w:rFonts w:hint="eastAsia" w:ascii="仿宋" w:hAnsi="仿宋" w:eastAsia="仿宋" w:cs="仿宋"/>
          <w:sz w:val="32"/>
          <w:szCs w:val="32"/>
          <w:lang w:val="en-US" w:eastAsia="zh-CN"/>
        </w:rPr>
        <w:t>吉国冲</w:t>
      </w:r>
      <w:r>
        <w:rPr>
          <w:rFonts w:hint="eastAsia" w:ascii="仿宋" w:hAnsi="仿宋" w:eastAsia="仿宋" w:cs="仿宋"/>
          <w:sz w:val="32"/>
          <w:szCs w:val="32"/>
        </w:rPr>
        <w:t>送往省中医院救治</w:t>
      </w:r>
      <w:r>
        <w:rPr>
          <w:rFonts w:hint="eastAsia" w:ascii="仿宋" w:hAnsi="仿宋" w:eastAsia="仿宋" w:cs="仿宋"/>
          <w:sz w:val="32"/>
          <w:szCs w:val="32"/>
          <w:lang w:eastAsia="zh-CN"/>
        </w:rPr>
        <w:t>，后</w:t>
      </w:r>
      <w:r>
        <w:rPr>
          <w:rFonts w:hint="eastAsia" w:ascii="仿宋" w:hAnsi="仿宋" w:eastAsia="仿宋" w:cs="仿宋"/>
          <w:sz w:val="32"/>
          <w:szCs w:val="32"/>
          <w:lang w:val="en-US" w:eastAsia="zh-CN"/>
        </w:rPr>
        <w:t>经抢救无效宣告死亡。</w:t>
      </w:r>
    </w:p>
    <w:p>
      <w:pPr>
        <w:pStyle w:val="10"/>
        <w:numPr>
          <w:ilvl w:val="0"/>
          <w:numId w:val="1"/>
        </w:numPr>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事故处置情况</w:t>
      </w:r>
    </w:p>
    <w:p>
      <w:pPr>
        <w:pStyle w:val="10"/>
        <w:numPr>
          <w:ilvl w:val="0"/>
          <w:numId w:val="2"/>
        </w:numPr>
        <w:adjustRightInd w:val="0"/>
        <w:snapToGrid w:val="0"/>
        <w:spacing w:line="360" w:lineRule="auto"/>
        <w:ind w:firstLine="640"/>
        <w:jc w:val="both"/>
        <w:rPr>
          <w:rFonts w:ascii="仿宋" w:hAnsi="仿宋" w:eastAsia="仿宋" w:cs="仿宋"/>
          <w:sz w:val="32"/>
          <w:szCs w:val="32"/>
          <w:lang w:eastAsia="zh-CN"/>
        </w:rPr>
      </w:pPr>
      <w:r>
        <w:rPr>
          <w:rFonts w:hint="eastAsia" w:ascii="仿宋" w:hAnsi="仿宋" w:eastAsia="仿宋" w:cs="仿宋"/>
          <w:sz w:val="32"/>
          <w:szCs w:val="32"/>
          <w:lang w:eastAsia="zh-CN"/>
        </w:rPr>
        <w:t>事故发生后的当天上午，美兰供电所、新埠街道办、新埠派出所、美兰应急管理局相继赶赴事故现场进行处置，对伤亡人员的善后处理提出具体要求；</w:t>
      </w:r>
    </w:p>
    <w:p>
      <w:pPr>
        <w:pStyle w:val="10"/>
        <w:numPr>
          <w:ilvl w:val="0"/>
          <w:numId w:val="2"/>
        </w:numPr>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美兰区应急管理局制定了事故调查处理工作方案，美兰区政府成立了事故调查组。</w:t>
      </w:r>
    </w:p>
    <w:p>
      <w:pPr>
        <w:adjustRightInd w:val="0"/>
        <w:snapToGrid w:val="0"/>
        <w:spacing w:line="560" w:lineRule="exact"/>
        <w:ind w:firstLine="640" w:firstLineChars="200"/>
        <w:rPr>
          <w:rFonts w:ascii="黑体" w:hAnsi="黑体" w:eastAsia="黑体" w:cs="黑体"/>
          <w:sz w:val="32"/>
          <w:szCs w:val="32"/>
          <w:lang w:eastAsia="zh-CN"/>
        </w:rPr>
      </w:pPr>
      <w:r>
        <w:rPr>
          <w:rFonts w:hint="eastAsia" w:ascii="黑体" w:hAnsi="黑体" w:eastAsia="黑体" w:cs="黑体"/>
          <w:sz w:val="32"/>
          <w:szCs w:val="32"/>
          <w:lang w:eastAsia="zh-CN"/>
        </w:rPr>
        <w:t>三. 事故现场勘验调查情况和事故造成的人员伤亡及直接经济损失情况</w:t>
      </w:r>
    </w:p>
    <w:p>
      <w:pPr>
        <w:adjustRightInd w:val="0"/>
        <w:snapToGrid w:val="0"/>
        <w:spacing w:line="560" w:lineRule="exact"/>
        <w:ind w:firstLine="320" w:firstLineChars="100"/>
        <w:rPr>
          <w:rFonts w:ascii="仿宋_GB2312" w:hAnsi="楷体" w:eastAsia="仿宋_GB2312" w:cs="仿宋_GB2312"/>
          <w:sz w:val="32"/>
          <w:szCs w:val="32"/>
          <w:lang w:eastAsia="zh-CN"/>
        </w:rPr>
      </w:pPr>
      <w:r>
        <w:rPr>
          <w:rFonts w:hint="eastAsia" w:ascii="仿宋_GB2312" w:hAnsi="楷体" w:eastAsia="仿宋_GB2312" w:cs="仿宋_GB2312"/>
          <w:sz w:val="32"/>
          <w:szCs w:val="32"/>
          <w:lang w:eastAsia="zh-CN"/>
        </w:rPr>
        <w:t>（一）现场勘验及事故调查情况</w:t>
      </w:r>
    </w:p>
    <w:p>
      <w:pPr>
        <w:adjustRightInd w:val="0"/>
        <w:snapToGrid w:val="0"/>
        <w:spacing w:line="560" w:lineRule="exact"/>
        <w:rPr>
          <w:rFonts w:ascii="仿宋" w:hAnsi="仿宋" w:eastAsia="仿宋" w:cs="仿宋"/>
          <w:sz w:val="32"/>
          <w:szCs w:val="32"/>
          <w:lang w:eastAsia="zh-CN"/>
        </w:rPr>
      </w:pPr>
      <w:r>
        <w:rPr>
          <w:rFonts w:hint="eastAsia" w:ascii="仿宋" w:hAnsi="仿宋" w:eastAsia="仿宋" w:cs="仿宋"/>
          <w:sz w:val="32"/>
          <w:szCs w:val="32"/>
          <w:lang w:eastAsia="zh-CN"/>
        </w:rPr>
        <w:t>事故调查人员经对事故现场勘查、对有关人员调查询问了解到如下情况：</w:t>
      </w:r>
    </w:p>
    <w:p>
      <w:pPr>
        <w:adjustRightInd w:val="0"/>
        <w:snapToGrid w:val="0"/>
        <w:spacing w:line="560" w:lineRule="exact"/>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1.砂场的围墙靠近9#杆的水平距离1米左右，下面堆放了2米高左右的砂子，砂堆顶面距跌落开关距离只有2米左右，离作业人员的安全距离不够，砂堆等地面潮湿，当时吉国冲赤脚手戴布手套。</w:t>
      </w:r>
    </w:p>
    <w:p>
      <w:pPr>
        <w:adjustRightInd w:val="0"/>
        <w:snapToGrid w:val="0"/>
        <w:spacing w:line="560" w:lineRule="exact"/>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2.电杆、跌落开关由于砂石堆放使其砂石顶面离电线、跌落开关高度严重缩小，使其不符合《</w:t>
      </w:r>
      <w:r>
        <w:rPr>
          <w:rFonts w:ascii="仿宋" w:hAnsi="仿宋" w:eastAsia="仿宋" w:cs="仿宋"/>
          <w:sz w:val="32"/>
          <w:szCs w:val="32"/>
          <w:lang w:eastAsia="zh-CN"/>
        </w:rPr>
        <w:t>10KV</w:t>
      </w:r>
      <w:r>
        <w:rPr>
          <w:rFonts w:hint="eastAsia" w:ascii="仿宋" w:hAnsi="仿宋" w:eastAsia="仿宋" w:cs="仿宋"/>
          <w:sz w:val="32"/>
          <w:szCs w:val="32"/>
          <w:lang w:eastAsia="zh-CN"/>
        </w:rPr>
        <w:t>架空线路设计规范》对安全距离的要求，存在严重的安全隐患。</w:t>
      </w:r>
    </w:p>
    <w:p>
      <w:pPr>
        <w:pStyle w:val="10"/>
        <w:numPr>
          <w:ilvl w:val="0"/>
          <w:numId w:val="2"/>
        </w:numPr>
        <w:spacing w:line="360" w:lineRule="auto"/>
        <w:jc w:val="both"/>
        <w:rPr>
          <w:rFonts w:ascii="仿宋" w:hAnsi="仿宋" w:eastAsia="仿宋" w:cs="仿宋"/>
          <w:sz w:val="32"/>
          <w:szCs w:val="32"/>
          <w:lang w:eastAsia="zh-CN"/>
        </w:rPr>
      </w:pPr>
      <w:r>
        <w:rPr>
          <w:rFonts w:hint="eastAsia" w:ascii="仿宋" w:hAnsi="仿宋" w:eastAsia="仿宋" w:cs="仿宋"/>
          <w:sz w:val="32"/>
          <w:szCs w:val="32"/>
          <w:lang w:eastAsia="zh-CN"/>
        </w:rPr>
        <w:t>3. 海南于朝建筑材料有限公司未按《安全生产法》建立安全生产管理制度，未组织对公司从业人员的安全教育培训，未认真督促、检查砂场安全生产工作，未组织开展隐患排查治理工作，未及时发现并消除作业场所的事故隐患，</w:t>
      </w:r>
      <w:r>
        <w:rPr>
          <w:rFonts w:hint="eastAsia" w:ascii="仿宋" w:hAnsi="仿宋" w:eastAsia="仿宋" w:cs="仿宋"/>
          <w:sz w:val="32"/>
          <w:szCs w:val="32"/>
          <w:lang w:val="en-US" w:eastAsia="zh-CN"/>
        </w:rPr>
        <w:t>擅自组织</w:t>
      </w:r>
      <w:r>
        <w:rPr>
          <w:rFonts w:hint="eastAsia" w:ascii="仿宋" w:hAnsi="仿宋" w:eastAsia="仿宋" w:cs="仿宋"/>
          <w:sz w:val="32"/>
          <w:szCs w:val="32"/>
          <w:lang w:eastAsia="zh-CN"/>
        </w:rPr>
        <w:t>砂场工人</w:t>
      </w:r>
      <w:r>
        <w:rPr>
          <w:rFonts w:hint="eastAsia" w:ascii="仿宋" w:hAnsi="仿宋" w:eastAsia="仿宋" w:cs="仿宋"/>
          <w:sz w:val="32"/>
          <w:szCs w:val="32"/>
          <w:lang w:val="en-US" w:eastAsia="zh-CN"/>
        </w:rPr>
        <w:t>进入不安全作业区域冒险作业</w:t>
      </w:r>
      <w:r>
        <w:rPr>
          <w:rFonts w:hint="eastAsia" w:ascii="仿宋" w:hAnsi="仿宋" w:eastAsia="仿宋" w:cs="仿宋"/>
          <w:sz w:val="32"/>
          <w:szCs w:val="32"/>
          <w:lang w:eastAsia="zh-CN"/>
        </w:rPr>
        <w:t>。</w:t>
      </w:r>
    </w:p>
    <w:p>
      <w:pPr>
        <w:pStyle w:val="10"/>
        <w:numPr>
          <w:ilvl w:val="255"/>
          <w:numId w:val="0"/>
        </w:numPr>
        <w:spacing w:line="360" w:lineRule="auto"/>
        <w:jc w:val="both"/>
        <w:rPr>
          <w:rFonts w:ascii="仿宋" w:hAnsi="仿宋" w:eastAsia="仿宋" w:cs="仿宋"/>
          <w:sz w:val="32"/>
          <w:szCs w:val="32"/>
          <w:lang w:val="en-US" w:eastAsia="zh-CN"/>
        </w:rPr>
      </w:pPr>
      <w:r>
        <w:rPr>
          <w:rFonts w:hint="eastAsia" w:ascii="仿宋" w:hAnsi="仿宋" w:eastAsia="仿宋" w:cs="仿宋"/>
          <w:sz w:val="32"/>
          <w:szCs w:val="32"/>
          <w:lang w:eastAsia="zh-CN"/>
        </w:rPr>
        <w:t>4.</w:t>
      </w:r>
      <w:r>
        <w:rPr>
          <w:rFonts w:hint="eastAsia" w:ascii="仿宋" w:hAnsi="仿宋" w:eastAsia="仿宋" w:cs="仿宋"/>
          <w:sz w:val="32"/>
          <w:szCs w:val="32"/>
          <w:lang w:val="en-US" w:eastAsia="zh-CN"/>
        </w:rPr>
        <w:t>海南电网</w:t>
      </w:r>
      <w:r>
        <w:rPr>
          <w:rFonts w:hint="eastAsia" w:ascii="仿宋" w:hAnsi="仿宋" w:eastAsia="仿宋" w:cs="仿宋"/>
          <w:sz w:val="32"/>
          <w:szCs w:val="32"/>
          <w:lang w:eastAsia="zh-CN"/>
        </w:rPr>
        <w:t>有限公司海口供电局检查发现</w:t>
      </w:r>
      <w:r>
        <w:rPr>
          <w:rFonts w:ascii="仿宋" w:hAnsi="仿宋" w:eastAsia="仿宋" w:cs="仿宋"/>
          <w:sz w:val="32"/>
          <w:szCs w:val="32"/>
          <w:lang w:eastAsia="zh-CN"/>
        </w:rPr>
        <w:t>10KV</w:t>
      </w:r>
      <w:r>
        <w:rPr>
          <w:rFonts w:hint="eastAsia" w:ascii="仿宋" w:hAnsi="仿宋" w:eastAsia="仿宋" w:cs="仿宋"/>
          <w:sz w:val="32"/>
          <w:szCs w:val="32"/>
          <w:lang w:eastAsia="zh-CN"/>
        </w:rPr>
        <w:t>新埠</w:t>
      </w:r>
      <w:r>
        <w:rPr>
          <w:rFonts w:ascii="仿宋" w:hAnsi="仿宋" w:eastAsia="仿宋" w:cs="仿宋"/>
          <w:sz w:val="32"/>
          <w:szCs w:val="32"/>
          <w:lang w:eastAsia="zh-CN"/>
        </w:rPr>
        <w:t>4#</w:t>
      </w:r>
      <w:r>
        <w:rPr>
          <w:rFonts w:hint="eastAsia" w:ascii="仿宋" w:hAnsi="仿宋" w:eastAsia="仿宋" w:cs="仿宋"/>
          <w:sz w:val="32"/>
          <w:szCs w:val="32"/>
          <w:lang w:eastAsia="zh-CN"/>
        </w:rPr>
        <w:t>线燃气分支</w:t>
      </w:r>
      <w:r>
        <w:rPr>
          <w:rFonts w:ascii="仿宋" w:hAnsi="仿宋" w:eastAsia="仿宋" w:cs="仿宋"/>
          <w:sz w:val="32"/>
          <w:szCs w:val="32"/>
          <w:lang w:eastAsia="zh-CN"/>
        </w:rPr>
        <w:t>9#</w:t>
      </w:r>
      <w:r>
        <w:rPr>
          <w:rFonts w:hint="eastAsia" w:ascii="仿宋" w:hAnsi="仿宋" w:eastAsia="仿宋" w:cs="仿宋"/>
          <w:sz w:val="32"/>
          <w:szCs w:val="32"/>
          <w:lang w:eastAsia="zh-CN"/>
        </w:rPr>
        <w:t>杆至海口市市政工程维修公司专线“高压电源杆过低，存在严重安全隐患”，于2020年10月28日对市政工程维修公司下达《用电检查结果通知书》，要求市政工程维修公司3天内做好“电源杆周围安全措施，做围栏”等隐患整改，同时，在《用电检查结果通知书》中复查结果栏中注明“用户尚未整改，美兰所持续跟踪督促”。市政工程维修公司未按要求进行整改，也</w:t>
      </w:r>
      <w:r>
        <w:rPr>
          <w:rFonts w:hint="eastAsia" w:ascii="仿宋" w:hAnsi="仿宋" w:eastAsia="仿宋" w:cs="仿宋"/>
          <w:sz w:val="32"/>
          <w:szCs w:val="32"/>
          <w:lang w:val="en-US" w:eastAsia="zh-CN"/>
        </w:rPr>
        <w:t>未采取其他任何有效防护措施。</w:t>
      </w:r>
    </w:p>
    <w:p>
      <w:pPr>
        <w:pStyle w:val="10"/>
        <w:spacing w:line="360" w:lineRule="auto"/>
        <w:ind w:firstLine="320" w:firstLineChars="1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 xml:space="preserve"> 5. 海口市综合行政执法局美兰分局新埠街道城管中队2020年8月至2021年7月多次到海南于朝建筑材料有限公司砂石场对环保、环卫、砂石来源及堆放、土地使用等进行执法检查。海口市综合行政执法局美兰分局并就砂石场的“未密闭易产生扬尘的物料、未设置不低于堆放物高度的严密围档、生活垃圾卫生死角未清理”及物料堆放在“海口市新埠街道三号公路燃气站旁”等违法行为下达整改通知书；检查过程中没有发现砂场物料堆放高压线下造成安全隐患等问题。 </w:t>
      </w:r>
    </w:p>
    <w:p>
      <w:pPr>
        <w:pStyle w:val="10"/>
        <w:spacing w:line="360" w:lineRule="auto"/>
        <w:ind w:firstLine="320" w:firstLineChars="1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 xml:space="preserve">6． 海口市综合行政执法局美兰分局自然资源行政执法大队2021年7月14日到海南于朝建筑材料有限公司对该公司的非法出售砂石料进行取缔, 但未对砂场堆放场地违法越界行为进行制止或提出整改。 </w:t>
      </w:r>
    </w:p>
    <w:p>
      <w:pPr>
        <w:pStyle w:val="10"/>
        <w:spacing w:line="360" w:lineRule="auto"/>
        <w:ind w:firstLine="320" w:firstLineChars="100"/>
        <w:jc w:val="both"/>
        <w:rPr>
          <w:rFonts w:ascii="仿宋" w:hAnsi="仿宋" w:eastAsia="仿宋" w:cs="仿宋"/>
          <w:sz w:val="32"/>
          <w:szCs w:val="32"/>
          <w:lang w:val="en-US" w:eastAsia="zh-CN"/>
        </w:rPr>
      </w:pPr>
    </w:p>
    <w:p>
      <w:pPr>
        <w:pStyle w:val="10"/>
        <w:spacing w:line="360" w:lineRule="auto"/>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（二）事故造成人员伤亡和经济损失</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1.事故造成</w:t>
      </w:r>
      <w:r>
        <w:rPr>
          <w:rFonts w:ascii="仿宋" w:hAnsi="仿宋" w:eastAsia="仿宋" w:cs="仿宋"/>
          <w:sz w:val="32"/>
          <w:szCs w:val="32"/>
          <w:lang w:val="en-US" w:eastAsia="zh-CN"/>
        </w:rPr>
        <w:t>1</w:t>
      </w:r>
      <w:r>
        <w:rPr>
          <w:rFonts w:hint="eastAsia" w:ascii="仿宋" w:hAnsi="仿宋" w:eastAsia="仿宋" w:cs="仿宋"/>
          <w:sz w:val="32"/>
          <w:szCs w:val="32"/>
          <w:lang w:val="en-US" w:eastAsia="zh-CN"/>
        </w:rPr>
        <w:t>人死亡，死者吉国冲，男，</w:t>
      </w:r>
      <w:r>
        <w:rPr>
          <w:rFonts w:ascii="仿宋" w:hAnsi="仿宋" w:eastAsia="仿宋" w:cs="仿宋"/>
          <w:sz w:val="32"/>
          <w:szCs w:val="32"/>
          <w:lang w:val="en-US" w:eastAsia="zh-CN"/>
        </w:rPr>
        <w:t>31</w:t>
      </w:r>
      <w:r>
        <w:rPr>
          <w:rFonts w:hint="eastAsia" w:ascii="仿宋" w:hAnsi="仿宋" w:eastAsia="仿宋" w:cs="仿宋"/>
          <w:sz w:val="32"/>
          <w:szCs w:val="32"/>
          <w:lang w:val="en-US" w:eastAsia="zh-CN"/>
        </w:rPr>
        <w:t>岁，海南省琼海市人。经医院诊断，吉国冲左手电击烧伤等（详见入院记录及法医鉴定书）。</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lang w:val="en-US" w:eastAsia="zh-CN"/>
        </w:rPr>
        <w:t>2.事故造成直接经济损失约人民币</w:t>
      </w:r>
      <w:r>
        <w:rPr>
          <w:rFonts w:ascii="仿宋" w:hAnsi="仿宋" w:eastAsia="仿宋" w:cs="仿宋"/>
          <w:sz w:val="32"/>
          <w:szCs w:val="32"/>
          <w:lang w:val="en-US" w:eastAsia="zh-CN"/>
        </w:rPr>
        <w:t>117.668</w:t>
      </w:r>
      <w:r>
        <w:rPr>
          <w:rFonts w:hint="eastAsia" w:ascii="仿宋" w:hAnsi="仿宋" w:eastAsia="仿宋" w:cs="仿宋"/>
          <w:sz w:val="32"/>
          <w:szCs w:val="32"/>
          <w:lang w:val="en-US" w:eastAsia="zh-CN"/>
        </w:rPr>
        <w:t>万元。</w:t>
      </w:r>
    </w:p>
    <w:p>
      <w:pPr>
        <w:pStyle w:val="10"/>
        <w:adjustRightInd w:val="0"/>
        <w:snapToGrid w:val="0"/>
        <w:spacing w:line="520" w:lineRule="exact"/>
        <w:ind w:firstLine="640" w:firstLineChars="200"/>
        <w:jc w:val="both"/>
        <w:rPr>
          <w:rFonts w:ascii="仿宋" w:hAnsi="仿宋" w:eastAsia="仿宋" w:cs="仿宋"/>
          <w:b/>
          <w:bCs/>
          <w:sz w:val="32"/>
          <w:szCs w:val="32"/>
        </w:rPr>
      </w:pPr>
      <w:r>
        <w:rPr>
          <w:rFonts w:hint="eastAsia" w:ascii="黑体" w:hAnsi="黑体" w:eastAsia="黑体" w:cs="黑体"/>
          <w:sz w:val="32"/>
          <w:szCs w:val="32"/>
        </w:rPr>
        <w:t>四</w:t>
      </w:r>
      <w:r>
        <w:rPr>
          <w:rFonts w:hint="eastAsia" w:ascii="黑体" w:hAnsi="黑体" w:eastAsia="黑体" w:cs="黑体"/>
          <w:sz w:val="32"/>
          <w:szCs w:val="32"/>
          <w:lang w:val="en-US"/>
        </w:rPr>
        <w:t>.</w:t>
      </w:r>
      <w:r>
        <w:rPr>
          <w:rFonts w:hint="eastAsia" w:ascii="黑体" w:hAnsi="黑体" w:eastAsia="黑体" w:cs="黑体"/>
          <w:sz w:val="32"/>
          <w:szCs w:val="32"/>
        </w:rPr>
        <w:t>事故发生的原因及事故性质</w:t>
      </w:r>
    </w:p>
    <w:p>
      <w:pPr>
        <w:pStyle w:val="10"/>
        <w:adjustRightInd w:val="0"/>
        <w:snapToGrid w:val="0"/>
        <w:spacing w:line="520" w:lineRule="exact"/>
        <w:ind w:left="480" w:leftChars="200" w:firstLine="0"/>
        <w:jc w:val="both"/>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val="en-US"/>
        </w:rPr>
        <w:t>事故直接原因</w:t>
      </w:r>
    </w:p>
    <w:p>
      <w:pPr>
        <w:pStyle w:val="10"/>
        <w:adjustRightInd w:val="0"/>
        <w:snapToGrid w:val="0"/>
        <w:spacing w:line="520" w:lineRule="exact"/>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吉国冲赤手并光脚在高压输电线及开关下维修围挡，左手持角铁不慎碰触到高压输电线的跌落开关，导致触高压电后被电击。</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（二）造成事故的间接原因</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1</w:t>
      </w:r>
      <w:r>
        <w:rPr>
          <w:rFonts w:hint="eastAsia" w:ascii="仿宋" w:hAnsi="仿宋" w:eastAsia="仿宋" w:cs="仿宋"/>
          <w:sz w:val="32"/>
          <w:szCs w:val="32"/>
          <w:lang w:val="en-US" w:eastAsia="zh-CN"/>
        </w:rPr>
        <w:t>.海南于朝建筑材料有限公司没有建立安全生产管理制度，没有组织开展员工安全教育培训，没有开展事故隐患排查治理工作，未严格要求从业人员注意安全事项，未认真督促、检查砂场工人安全生产工作，安全意识淡薄，擅自堆放砂子在高压电线下，导致安全距离不满足要求，由于该公司未及时排除事故隐患，致使安全隐患长期存在，海南于朝建筑材料有限公司擅自组织员工在高压线下冒险作业，从而发生人员触电事故死亡。</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2</w:t>
      </w:r>
      <w:r>
        <w:rPr>
          <w:rFonts w:hint="eastAsia" w:ascii="仿宋" w:hAnsi="仿宋" w:eastAsia="仿宋" w:cs="仿宋"/>
          <w:sz w:val="32"/>
          <w:szCs w:val="32"/>
          <w:lang w:val="en-US" w:eastAsia="zh-CN"/>
        </w:rPr>
        <w:t>、</w:t>
      </w:r>
      <w:r>
        <w:rPr>
          <w:rFonts w:ascii="仿宋" w:hAnsi="仿宋" w:eastAsia="仿宋" w:cs="仿宋"/>
          <w:sz w:val="32"/>
          <w:szCs w:val="32"/>
          <w:lang w:val="en-US" w:eastAsia="zh-CN"/>
        </w:rPr>
        <w:t>10KV</w:t>
      </w:r>
      <w:r>
        <w:rPr>
          <w:rFonts w:hint="eastAsia" w:ascii="仿宋" w:hAnsi="仿宋" w:eastAsia="仿宋" w:cs="仿宋"/>
          <w:sz w:val="32"/>
          <w:szCs w:val="32"/>
          <w:lang w:val="en-US" w:eastAsia="zh-CN"/>
        </w:rPr>
        <w:t>新埠</w:t>
      </w:r>
      <w:r>
        <w:rPr>
          <w:rFonts w:ascii="仿宋" w:hAnsi="仿宋" w:eastAsia="仿宋" w:cs="仿宋"/>
          <w:sz w:val="32"/>
          <w:szCs w:val="32"/>
          <w:lang w:val="en-US" w:eastAsia="zh-CN"/>
        </w:rPr>
        <w:t>4#</w:t>
      </w:r>
      <w:r>
        <w:rPr>
          <w:rFonts w:hint="eastAsia" w:ascii="仿宋" w:hAnsi="仿宋" w:eastAsia="仿宋" w:cs="仿宋"/>
          <w:sz w:val="32"/>
          <w:szCs w:val="32"/>
          <w:lang w:val="en-US" w:eastAsia="zh-CN"/>
        </w:rPr>
        <w:t>线燃气分支</w:t>
      </w:r>
      <w:r>
        <w:rPr>
          <w:rFonts w:ascii="仿宋" w:hAnsi="仿宋" w:eastAsia="仿宋" w:cs="仿宋"/>
          <w:sz w:val="32"/>
          <w:szCs w:val="32"/>
          <w:lang w:val="en-US" w:eastAsia="zh-CN"/>
        </w:rPr>
        <w:t>9#</w:t>
      </w:r>
      <w:r>
        <w:rPr>
          <w:rFonts w:hint="eastAsia" w:ascii="仿宋" w:hAnsi="仿宋" w:eastAsia="仿宋" w:cs="仿宋"/>
          <w:sz w:val="32"/>
          <w:szCs w:val="32"/>
          <w:lang w:val="en-US" w:eastAsia="zh-CN"/>
        </w:rPr>
        <w:t>杆至海口市市政工程维修公司专线跌落开关的对地安全距离被海南于朝建筑材料公司堆放的砂子而改变，达不到原设计安全距离要求，存在安全隐患没有得到及时整改，没有采取有效防范措施。</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（三）事故性质</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经事故调查组调查认定，海南于朝建筑材料有限公司“</w:t>
      </w:r>
      <w:r>
        <w:rPr>
          <w:rFonts w:ascii="仿宋" w:hAnsi="仿宋" w:eastAsia="仿宋" w:cs="仿宋"/>
          <w:sz w:val="32"/>
          <w:szCs w:val="32"/>
          <w:lang w:val="en-US" w:eastAsia="zh-CN"/>
        </w:rPr>
        <w:t>10.15”</w:t>
      </w:r>
      <w:r>
        <w:rPr>
          <w:rFonts w:hint="eastAsia" w:ascii="仿宋" w:hAnsi="仿宋" w:eastAsia="仿宋" w:cs="仿宋"/>
          <w:sz w:val="32"/>
          <w:szCs w:val="32"/>
          <w:lang w:val="en-US" w:eastAsia="zh-CN"/>
        </w:rPr>
        <w:t>事故是一起电击致一人死亡的一般生产安全责任事故。</w:t>
      </w:r>
    </w:p>
    <w:p>
      <w:pPr>
        <w:pStyle w:val="10"/>
        <w:adjustRightInd w:val="0"/>
        <w:snapToGrid w:val="0"/>
        <w:spacing w:line="360" w:lineRule="auto"/>
        <w:ind w:firstLine="640" w:firstLineChars="200"/>
        <w:jc w:val="both"/>
        <w:rPr>
          <w:rFonts w:ascii="黑体" w:hAnsi="黑体" w:eastAsia="黑体" w:cs="黑体"/>
          <w:bCs/>
          <w:sz w:val="32"/>
          <w:szCs w:val="32"/>
        </w:rPr>
      </w:pPr>
      <w:r>
        <w:rPr>
          <w:rFonts w:hint="eastAsia" w:ascii="黑体" w:hAnsi="黑体" w:eastAsia="黑体" w:cs="黑体"/>
          <w:bCs/>
          <w:sz w:val="32"/>
          <w:szCs w:val="32"/>
          <w:lang w:eastAsia="zh-CN"/>
        </w:rPr>
        <w:t>五.</w:t>
      </w:r>
      <w:r>
        <w:rPr>
          <w:rFonts w:hint="eastAsia" w:ascii="黑体" w:hAnsi="黑体" w:eastAsia="黑体" w:cs="黑体"/>
          <w:bCs/>
          <w:sz w:val="32"/>
          <w:szCs w:val="32"/>
        </w:rPr>
        <w:t>事故责任的认定和对事故责任</w:t>
      </w:r>
      <w:r>
        <w:rPr>
          <w:rFonts w:hint="eastAsia" w:ascii="黑体" w:hAnsi="黑体" w:eastAsia="黑体" w:cs="黑体"/>
          <w:bCs/>
          <w:sz w:val="32"/>
          <w:szCs w:val="32"/>
          <w:lang w:val="en-US" w:eastAsia="zh-CN"/>
        </w:rPr>
        <w:t>人员</w:t>
      </w:r>
      <w:r>
        <w:rPr>
          <w:rFonts w:hint="eastAsia" w:ascii="黑体" w:hAnsi="黑体" w:eastAsia="黑体" w:cs="黑体"/>
          <w:bCs/>
          <w:sz w:val="32"/>
          <w:szCs w:val="32"/>
        </w:rPr>
        <w:t>的处理建议</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根据《中华人民共和国安全生产法》《生产安全事故报告和调查处理条例》（国务院令第</w:t>
      </w:r>
      <w:r>
        <w:rPr>
          <w:rFonts w:hint="eastAsia" w:ascii="仿宋" w:hAnsi="仿宋" w:eastAsia="仿宋" w:cs="仿宋"/>
          <w:sz w:val="32"/>
          <w:szCs w:val="32"/>
          <w:lang w:eastAsia="zh-CN"/>
        </w:rPr>
        <w:t>493号</w:t>
      </w:r>
      <w:r>
        <w:rPr>
          <w:rFonts w:hint="eastAsia" w:ascii="仿宋" w:hAnsi="仿宋" w:eastAsia="仿宋" w:cs="仿宋"/>
          <w:sz w:val="32"/>
          <w:szCs w:val="32"/>
        </w:rPr>
        <w:t>）等法律法规规定</w:t>
      </w:r>
      <w:r>
        <w:rPr>
          <w:rFonts w:ascii="仿宋" w:hAnsi="仿宋" w:eastAsia="仿宋" w:cs="仿宋"/>
          <w:sz w:val="32"/>
          <w:szCs w:val="32"/>
        </w:rPr>
        <w:t>,对</w:t>
      </w:r>
      <w:r>
        <w:rPr>
          <w:rFonts w:hint="eastAsia" w:ascii="仿宋" w:hAnsi="仿宋" w:eastAsia="仿宋" w:cs="仿宋"/>
          <w:sz w:val="32"/>
          <w:szCs w:val="32"/>
        </w:rPr>
        <w:t>海南于朝建筑材料有限公司“</w:t>
      </w:r>
      <w:r>
        <w:rPr>
          <w:rFonts w:ascii="仿宋" w:hAnsi="仿宋" w:eastAsia="仿宋" w:cs="仿宋"/>
          <w:sz w:val="32"/>
          <w:szCs w:val="32"/>
        </w:rPr>
        <w:t>10.15”电击亡人</w:t>
      </w:r>
      <w:r>
        <w:rPr>
          <w:rFonts w:hint="eastAsia" w:ascii="仿宋" w:hAnsi="仿宋" w:eastAsia="仿宋" w:cs="仿宋"/>
          <w:sz w:val="32"/>
          <w:szCs w:val="32"/>
        </w:rPr>
        <w:t>事故有关责任人</w:t>
      </w:r>
      <w:r>
        <w:rPr>
          <w:rFonts w:hint="eastAsia" w:ascii="仿宋" w:hAnsi="仿宋" w:eastAsia="仿宋" w:cs="仿宋"/>
          <w:sz w:val="32"/>
          <w:szCs w:val="32"/>
          <w:lang w:eastAsia="zh-CN"/>
        </w:rPr>
        <w:t>及</w:t>
      </w:r>
      <w:r>
        <w:rPr>
          <w:rFonts w:hint="eastAsia" w:ascii="仿宋" w:hAnsi="仿宋" w:eastAsia="仿宋" w:cs="仿宋"/>
          <w:sz w:val="32"/>
          <w:szCs w:val="32"/>
        </w:rPr>
        <w:t>责任单位作出如下责任认定和</w:t>
      </w:r>
      <w:r>
        <w:rPr>
          <w:rFonts w:hint="eastAsia" w:ascii="仿宋" w:hAnsi="仿宋" w:eastAsia="仿宋" w:cs="仿宋"/>
          <w:sz w:val="32"/>
          <w:szCs w:val="32"/>
          <w:lang w:eastAsia="zh-CN"/>
        </w:rPr>
        <w:t>处理</w:t>
      </w:r>
      <w:r>
        <w:rPr>
          <w:rFonts w:ascii="仿宋" w:hAnsi="仿宋" w:eastAsia="仿宋" w:cs="仿宋"/>
          <w:sz w:val="32"/>
          <w:szCs w:val="32"/>
        </w:rPr>
        <w:t>建议：</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lang w:eastAsia="zh-CN"/>
        </w:rPr>
        <w:t>1.</w:t>
      </w:r>
      <w:r>
        <w:rPr>
          <w:rFonts w:hint="eastAsia" w:ascii="仿宋" w:hAnsi="仿宋" w:eastAsia="仿宋" w:cs="仿宋"/>
          <w:sz w:val="32"/>
          <w:szCs w:val="32"/>
        </w:rPr>
        <w:t>海南于朝建筑材料有限公司未建立健全安全生产管理规章制度，未组织员工的安全教育培训，未检查砂场安全生产工作，未组织开展安全隐患排查，违法将砂子等建筑材料堆放高压电线及用电设施下</w:t>
      </w:r>
      <w:r>
        <w:rPr>
          <w:rFonts w:hint="eastAsia" w:ascii="仿宋" w:hAnsi="仿宋" w:eastAsia="仿宋" w:cs="仿宋"/>
          <w:sz w:val="32"/>
          <w:szCs w:val="32"/>
          <w:lang w:eastAsia="zh-CN"/>
        </w:rPr>
        <w:t>，</w:t>
      </w:r>
      <w:r>
        <w:rPr>
          <w:rFonts w:hint="eastAsia" w:ascii="仿宋" w:hAnsi="仿宋" w:eastAsia="仿宋" w:cs="仿宋"/>
          <w:sz w:val="32"/>
          <w:szCs w:val="32"/>
        </w:rPr>
        <w:t>造成</w:t>
      </w:r>
      <w:r>
        <w:rPr>
          <w:rFonts w:hint="eastAsia" w:ascii="仿宋" w:hAnsi="仿宋" w:eastAsia="仿宋" w:cs="仿宋"/>
          <w:sz w:val="32"/>
          <w:szCs w:val="32"/>
          <w:lang w:val="en-US" w:eastAsia="zh-CN"/>
        </w:rPr>
        <w:t>安全距离不足事故</w:t>
      </w:r>
      <w:r>
        <w:rPr>
          <w:rFonts w:hint="eastAsia" w:ascii="仿宋" w:hAnsi="仿宋" w:eastAsia="仿宋" w:cs="仿宋"/>
          <w:sz w:val="32"/>
          <w:szCs w:val="32"/>
        </w:rPr>
        <w:t>隐患，</w:t>
      </w:r>
      <w:r>
        <w:rPr>
          <w:rFonts w:hint="eastAsia" w:ascii="仿宋" w:hAnsi="仿宋" w:eastAsia="仿宋" w:cs="仿宋"/>
          <w:sz w:val="32"/>
          <w:szCs w:val="32"/>
          <w:lang w:val="en-US" w:eastAsia="zh-CN"/>
        </w:rPr>
        <w:t>该未及时排除事故隐患，擅自组织员工在高压线下冒险作业</w:t>
      </w:r>
      <w:r>
        <w:rPr>
          <w:rFonts w:hint="eastAsia" w:ascii="仿宋" w:hAnsi="仿宋" w:eastAsia="仿宋" w:cs="仿宋"/>
          <w:sz w:val="32"/>
          <w:szCs w:val="32"/>
        </w:rPr>
        <w:t>，违反《中华人民共和国安全生产法》第二十</w:t>
      </w:r>
      <w:r>
        <w:rPr>
          <w:rFonts w:hint="eastAsia" w:ascii="仿宋" w:hAnsi="仿宋" w:eastAsia="仿宋" w:cs="仿宋"/>
          <w:sz w:val="32"/>
          <w:szCs w:val="32"/>
          <w:lang w:val="en-US" w:eastAsia="zh-CN"/>
        </w:rPr>
        <w:t>五</w:t>
      </w:r>
      <w:r>
        <w:rPr>
          <w:rFonts w:hint="eastAsia" w:ascii="仿宋" w:hAnsi="仿宋" w:eastAsia="仿宋" w:cs="仿宋"/>
          <w:sz w:val="32"/>
          <w:szCs w:val="32"/>
        </w:rPr>
        <w:t>条、第二十八条</w:t>
      </w:r>
      <w:r>
        <w:rPr>
          <w:rFonts w:hint="eastAsia" w:ascii="仿宋" w:hAnsi="仿宋" w:eastAsia="仿宋" w:cs="仿宋"/>
          <w:sz w:val="32"/>
          <w:szCs w:val="32"/>
          <w:lang w:val="en-US" w:eastAsia="zh-CN"/>
        </w:rPr>
        <w:t>的</w:t>
      </w:r>
      <w:r>
        <w:rPr>
          <w:rFonts w:hint="eastAsia" w:ascii="仿宋" w:hAnsi="仿宋" w:eastAsia="仿宋" w:cs="仿宋"/>
          <w:sz w:val="32"/>
          <w:szCs w:val="32"/>
        </w:rPr>
        <w:t>有关规定，导致发生一起电击致</w:t>
      </w:r>
      <w:r>
        <w:rPr>
          <w:rFonts w:hint="eastAsia" w:ascii="仿宋" w:hAnsi="仿宋" w:eastAsia="仿宋" w:cs="仿宋"/>
          <w:sz w:val="32"/>
          <w:szCs w:val="32"/>
          <w:lang w:eastAsia="zh-CN"/>
        </w:rPr>
        <w:t>1人死亡的</w:t>
      </w:r>
      <w:r>
        <w:rPr>
          <w:rFonts w:hint="eastAsia" w:ascii="仿宋" w:hAnsi="仿宋" w:eastAsia="仿宋" w:cs="仿宋"/>
          <w:sz w:val="32"/>
          <w:szCs w:val="32"/>
          <w:lang w:val="en-US" w:eastAsia="zh-CN"/>
        </w:rPr>
        <w:t>生产安全</w:t>
      </w:r>
      <w:r>
        <w:rPr>
          <w:rFonts w:hint="eastAsia" w:ascii="仿宋" w:hAnsi="仿宋" w:eastAsia="仿宋" w:cs="仿宋"/>
          <w:sz w:val="32"/>
          <w:szCs w:val="32"/>
          <w:lang w:eastAsia="zh-CN"/>
        </w:rPr>
        <w:t>责任事故</w:t>
      </w:r>
      <w:r>
        <w:rPr>
          <w:rFonts w:hint="eastAsia" w:ascii="仿宋" w:hAnsi="仿宋" w:eastAsia="仿宋" w:cs="仿宋"/>
          <w:sz w:val="32"/>
          <w:szCs w:val="32"/>
        </w:rPr>
        <w:t>。建议由海口市综合行政执法局美兰分局根据《中华人民共和国安全生产法》</w:t>
      </w:r>
      <w:r>
        <w:rPr>
          <w:rFonts w:hint="eastAsia" w:ascii="仿宋" w:hAnsi="仿宋" w:eastAsia="仿宋" w:cs="仿宋"/>
          <w:sz w:val="32"/>
          <w:szCs w:val="32"/>
          <w:lang w:val="en-US" w:eastAsia="zh-CN"/>
        </w:rPr>
        <w:t>的</w:t>
      </w:r>
      <w:r>
        <w:rPr>
          <w:rFonts w:hint="eastAsia" w:ascii="仿宋" w:hAnsi="仿宋" w:eastAsia="仿宋" w:cs="仿宋"/>
          <w:sz w:val="32"/>
          <w:szCs w:val="32"/>
        </w:rPr>
        <w:t>有关规定依法进行处理。</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lang w:eastAsia="zh-CN"/>
        </w:rPr>
        <w:t>2</w:t>
      </w:r>
      <w:r>
        <w:rPr>
          <w:rFonts w:hint="eastAsia" w:ascii="仿宋" w:hAnsi="仿宋" w:eastAsia="仿宋" w:cs="仿宋"/>
          <w:sz w:val="32"/>
          <w:szCs w:val="32"/>
        </w:rPr>
        <w:t>、海南于朝建筑材料有限公司负责人谢于朝没有履行《中华人民共和国安全生产法》第二十一条规定的职责，对本起事故发生负主要安全管理责任，建议由海口市综合行政执法局美兰分局根据《中华人民共和国安全生产法》的有关规定进行处理。</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3</w:t>
      </w:r>
      <w:r>
        <w:rPr>
          <w:rFonts w:hint="eastAsia" w:ascii="仿宋" w:hAnsi="仿宋" w:eastAsia="仿宋" w:cs="仿宋"/>
          <w:sz w:val="32"/>
          <w:szCs w:val="32"/>
        </w:rPr>
        <w:t>、砂场工人吉国冲安全意识淡薄，安全常识缺乏，在未采取任何安全防护措施的情况下，擅自在存在严重安全隐患的电力设施区域</w:t>
      </w:r>
      <w:r>
        <w:rPr>
          <w:rFonts w:hint="eastAsia" w:ascii="仿宋" w:hAnsi="仿宋" w:eastAsia="仿宋" w:cs="仿宋"/>
          <w:sz w:val="32"/>
          <w:szCs w:val="32"/>
          <w:lang w:eastAsia="zh-CN"/>
        </w:rPr>
        <w:t>内</w:t>
      </w:r>
      <w:r>
        <w:rPr>
          <w:rFonts w:hint="eastAsia" w:ascii="仿宋" w:hAnsi="仿宋" w:eastAsia="仿宋" w:cs="仿宋"/>
          <w:sz w:val="32"/>
          <w:szCs w:val="32"/>
          <w:lang w:val="en-US" w:eastAsia="zh-CN"/>
        </w:rPr>
        <w:t>维修围挡</w:t>
      </w:r>
      <w:r>
        <w:rPr>
          <w:rFonts w:hint="eastAsia" w:ascii="仿宋" w:hAnsi="仿宋" w:eastAsia="仿宋" w:cs="仿宋"/>
          <w:sz w:val="32"/>
          <w:szCs w:val="32"/>
        </w:rPr>
        <w:t>等作业，触碰带高压电的铁落开关，触电后电击身亡</w:t>
      </w:r>
      <w:r>
        <w:rPr>
          <w:rFonts w:hint="eastAsia" w:ascii="仿宋" w:hAnsi="仿宋" w:eastAsia="仿宋" w:cs="仿宋"/>
          <w:sz w:val="32"/>
          <w:szCs w:val="32"/>
          <w:lang w:eastAsia="zh-CN"/>
        </w:rPr>
        <w:t>，</w:t>
      </w:r>
      <w:r>
        <w:rPr>
          <w:rFonts w:hint="eastAsia" w:ascii="仿宋" w:hAnsi="仿宋" w:eastAsia="仿宋" w:cs="仿宋"/>
          <w:sz w:val="32"/>
          <w:szCs w:val="32"/>
        </w:rPr>
        <w:t>对本起事故发生负直接责任。鉴于其吉国冲已经死亡，建议免予追究责任。</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rPr>
        <w:t>（二）对事故相关单位责任认定及处理建议</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1、市政</w:t>
      </w:r>
      <w:r>
        <w:rPr>
          <w:rFonts w:hint="eastAsia" w:ascii="仿宋" w:hAnsi="仿宋" w:eastAsia="仿宋" w:cs="仿宋"/>
          <w:sz w:val="32"/>
          <w:szCs w:val="32"/>
          <w:lang w:val="en-US" w:eastAsia="zh-CN"/>
        </w:rPr>
        <w:t>工程</w:t>
      </w:r>
      <w:r>
        <w:rPr>
          <w:rFonts w:hint="eastAsia" w:ascii="仿宋" w:hAnsi="仿宋" w:eastAsia="仿宋" w:cs="仿宋"/>
          <w:sz w:val="32"/>
          <w:szCs w:val="32"/>
          <w:lang w:eastAsia="zh-CN"/>
        </w:rPr>
        <w:t>维修公司</w:t>
      </w:r>
      <w:r>
        <w:rPr>
          <w:rFonts w:hint="eastAsia" w:ascii="仿宋" w:hAnsi="仿宋" w:eastAsia="仿宋" w:cs="仿宋"/>
          <w:sz w:val="32"/>
          <w:szCs w:val="32"/>
          <w:lang w:val="en-US" w:eastAsia="zh-CN"/>
        </w:rPr>
        <w:t>对</w:t>
      </w:r>
      <w:r>
        <w:rPr>
          <w:rFonts w:hint="eastAsia" w:ascii="仿宋" w:hAnsi="仿宋" w:eastAsia="仿宋" w:cs="仿宋"/>
          <w:sz w:val="32"/>
          <w:szCs w:val="32"/>
          <w:lang w:eastAsia="zh-CN"/>
        </w:rPr>
        <w:t>海南电网有限责任公司海口供电局2020年10月28日下达的《用电检查结果通知书》关于做好隐患整改的要求未引起重视，安全意识淡薄，对安全隐患未及时进行整改，未按要求在电线杆周围做防护围栏，</w:t>
      </w:r>
      <w:r>
        <w:rPr>
          <w:rFonts w:hint="eastAsia" w:ascii="仿宋" w:hAnsi="仿宋" w:eastAsia="仿宋" w:cs="仿宋"/>
          <w:sz w:val="32"/>
          <w:szCs w:val="32"/>
          <w:lang w:val="en-US" w:eastAsia="zh-CN"/>
        </w:rPr>
        <w:t>未能有效阻止进入危险区作业人员的活动，</w:t>
      </w:r>
      <w:r>
        <w:rPr>
          <w:rFonts w:hint="eastAsia" w:ascii="仿宋" w:hAnsi="仿宋" w:eastAsia="仿宋" w:cs="仿宋"/>
          <w:sz w:val="32"/>
          <w:szCs w:val="32"/>
          <w:lang w:eastAsia="zh-CN"/>
        </w:rPr>
        <w:t>对本起事故负有间接责任。建议海口市市政管理局依据有关法律法规对市政维修公司及相关责任人进行处理。</w:t>
      </w:r>
    </w:p>
    <w:p>
      <w:pPr>
        <w:pStyle w:val="10"/>
        <w:adjustRightInd w:val="0"/>
        <w:snapToGrid w:val="0"/>
        <w:spacing w:line="360" w:lineRule="auto"/>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eastAsia="zh-CN"/>
        </w:rPr>
        <w:t>2、海南电网有限责任公司海口供电局对新埠</w:t>
      </w:r>
      <w:r>
        <w:rPr>
          <w:rFonts w:ascii="仿宋" w:hAnsi="仿宋" w:eastAsia="仿宋" w:cs="仿宋"/>
          <w:sz w:val="32"/>
          <w:szCs w:val="32"/>
          <w:lang w:eastAsia="zh-CN"/>
        </w:rPr>
        <w:t>10KV4#</w:t>
      </w:r>
      <w:r>
        <w:rPr>
          <w:rFonts w:hint="eastAsia" w:ascii="仿宋" w:hAnsi="仿宋" w:eastAsia="仿宋" w:cs="仿宋"/>
          <w:sz w:val="32"/>
          <w:szCs w:val="32"/>
          <w:lang w:eastAsia="zh-CN"/>
        </w:rPr>
        <w:t>线燃气分支</w:t>
      </w:r>
      <w:r>
        <w:rPr>
          <w:rFonts w:ascii="仿宋" w:hAnsi="仿宋" w:eastAsia="仿宋" w:cs="仿宋"/>
          <w:sz w:val="32"/>
          <w:szCs w:val="32"/>
          <w:lang w:eastAsia="zh-CN"/>
        </w:rPr>
        <w:t>9#</w:t>
      </w:r>
      <w:r>
        <w:rPr>
          <w:rFonts w:hint="eastAsia" w:ascii="仿宋" w:hAnsi="仿宋" w:eastAsia="仿宋" w:cs="仿宋"/>
          <w:sz w:val="32"/>
          <w:szCs w:val="32"/>
          <w:lang w:eastAsia="zh-CN"/>
        </w:rPr>
        <w:t>杆至市政工程维修公司专线跌落开关的对地安全距离不够，存在安全隐患，已于</w:t>
      </w:r>
      <w:r>
        <w:rPr>
          <w:rFonts w:ascii="仿宋" w:hAnsi="仿宋" w:eastAsia="仿宋" w:cs="仿宋"/>
          <w:sz w:val="32"/>
          <w:szCs w:val="32"/>
          <w:lang w:eastAsia="zh-CN"/>
        </w:rPr>
        <w:t>2020</w:t>
      </w:r>
      <w:r>
        <w:rPr>
          <w:rFonts w:hint="eastAsia" w:ascii="仿宋" w:hAnsi="仿宋" w:eastAsia="仿宋" w:cs="仿宋"/>
          <w:sz w:val="32"/>
          <w:szCs w:val="32"/>
          <w:lang w:eastAsia="zh-CN"/>
        </w:rPr>
        <w:t>年</w:t>
      </w:r>
      <w:r>
        <w:rPr>
          <w:rFonts w:ascii="仿宋" w:hAnsi="仿宋" w:eastAsia="仿宋" w:cs="仿宋"/>
          <w:sz w:val="32"/>
          <w:szCs w:val="32"/>
          <w:lang w:eastAsia="zh-CN"/>
        </w:rPr>
        <w:t>10</w:t>
      </w:r>
      <w:r>
        <w:rPr>
          <w:rFonts w:hint="eastAsia" w:ascii="仿宋" w:hAnsi="仿宋" w:eastAsia="仿宋" w:cs="仿宋"/>
          <w:sz w:val="32"/>
          <w:szCs w:val="32"/>
          <w:lang w:eastAsia="zh-CN"/>
        </w:rPr>
        <w:t>月下达《用电检查结果通知书》，基本尽到《供电营业规则》规定及其与海口市市政维修公司签订合同的有关条款的义务。同时，建议供电部门加强对用户用电设施的安全监管，完善安全监管制度，对类似的安全隐患实行有效的管控。</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（三）有关公职人员处理建议</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lang w:eastAsia="zh-CN"/>
        </w:rPr>
        <w:t>对于在事故调查过程中发现的有关职能部门的公职人员履职方面的问题，建议移交区纪委监察委依法处理。</w:t>
      </w:r>
    </w:p>
    <w:p>
      <w:pPr>
        <w:pStyle w:val="10"/>
        <w:adjustRightInd w:val="0"/>
        <w:snapToGrid w:val="0"/>
        <w:spacing w:line="360" w:lineRule="auto"/>
        <w:ind w:firstLine="640" w:firstLineChars="200"/>
        <w:jc w:val="both"/>
        <w:rPr>
          <w:rFonts w:ascii="黑体" w:hAnsi="黑体" w:eastAsia="黑体" w:cs="黑体"/>
          <w:bCs/>
          <w:sz w:val="32"/>
          <w:szCs w:val="32"/>
        </w:rPr>
      </w:pPr>
      <w:r>
        <w:rPr>
          <w:rFonts w:hint="eastAsia" w:ascii="黑体" w:hAnsi="黑体" w:eastAsia="黑体" w:cs="黑体"/>
          <w:bCs/>
          <w:sz w:val="32"/>
          <w:szCs w:val="32"/>
          <w:lang w:eastAsia="zh-CN"/>
        </w:rPr>
        <w:t>六</w:t>
      </w:r>
      <w:r>
        <w:rPr>
          <w:rFonts w:hint="eastAsia" w:ascii="黑体" w:hAnsi="黑体" w:eastAsia="黑体" w:cs="黑体"/>
          <w:bCs/>
          <w:sz w:val="32"/>
          <w:szCs w:val="32"/>
        </w:rPr>
        <w:t>、事故防范和整改措施</w:t>
      </w:r>
    </w:p>
    <w:p>
      <w:pPr>
        <w:pStyle w:val="10"/>
        <w:adjustRightInd w:val="0"/>
        <w:snapToGrid w:val="0"/>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（一）海南于朝建筑材料有限公司、海口市市政工程维修公司和海南电网有限责任公司海口供电局要认真总结事故教训，落实各项安全保障，切实提升安全生产管理水平。</w:t>
      </w:r>
    </w:p>
    <w:p>
      <w:pPr>
        <w:pStyle w:val="10"/>
        <w:adjustRightInd w:val="0"/>
        <w:snapToGrid w:val="0"/>
        <w:spacing w:line="360" w:lineRule="auto"/>
        <w:ind w:firstLine="640" w:firstLineChars="200"/>
        <w:jc w:val="both"/>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、建立健全安全生产责任制、安全生产规章制度和操作规程，加强安全生产</w:t>
      </w:r>
      <w:r>
        <w:rPr>
          <w:rFonts w:ascii="仿宋" w:hAnsi="仿宋" w:eastAsia="仿宋" w:cs="仿宋"/>
          <w:sz w:val="32"/>
          <w:szCs w:val="32"/>
        </w:rPr>
        <w:t>“</w:t>
      </w:r>
      <w:r>
        <w:rPr>
          <w:rFonts w:hint="eastAsia" w:ascii="仿宋" w:hAnsi="仿宋" w:eastAsia="仿宋" w:cs="仿宋"/>
          <w:sz w:val="32"/>
          <w:szCs w:val="32"/>
        </w:rPr>
        <w:t>双重预防体体系</w:t>
      </w:r>
      <w:r>
        <w:rPr>
          <w:rFonts w:ascii="仿宋" w:hAnsi="仿宋" w:eastAsia="仿宋" w:cs="仿宋"/>
          <w:sz w:val="32"/>
          <w:szCs w:val="32"/>
        </w:rPr>
        <w:t>”</w:t>
      </w:r>
      <w:r>
        <w:rPr>
          <w:rFonts w:hint="eastAsia" w:ascii="仿宋" w:hAnsi="仿宋" w:eastAsia="仿宋" w:cs="仿宋"/>
          <w:sz w:val="32"/>
          <w:szCs w:val="32"/>
        </w:rPr>
        <w:t>建设，实现安全生产标准化管理。</w:t>
      </w:r>
    </w:p>
    <w:p>
      <w:pPr>
        <w:pStyle w:val="10"/>
        <w:adjustRightInd w:val="0"/>
        <w:snapToGrid w:val="0"/>
        <w:spacing w:line="360" w:lineRule="auto"/>
        <w:ind w:firstLine="640" w:firstLineChars="200"/>
        <w:jc w:val="both"/>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w:t>
      </w:r>
      <w:r>
        <w:rPr>
          <w:rFonts w:hint="eastAsia" w:ascii="仿宋" w:hAnsi="仿宋" w:eastAsia="仿宋" w:cs="仿宋"/>
          <w:sz w:val="32"/>
          <w:szCs w:val="32"/>
          <w:lang w:eastAsia="zh-CN"/>
        </w:rPr>
        <w:t>生产</w:t>
      </w:r>
      <w:r>
        <w:rPr>
          <w:rFonts w:hint="eastAsia" w:ascii="仿宋" w:hAnsi="仿宋" w:eastAsia="仿宋" w:cs="仿宋"/>
          <w:sz w:val="32"/>
          <w:szCs w:val="32"/>
        </w:rPr>
        <w:t>经营单位负责人要牢固树立安全第一的意识，履行安全生产第一责任人职责，组织领导本单位开展好安全生产工作。企业要建立安全生产检查制度经常组织开展安全生产检查，安全生产检查要全方位、专业化排查；隐患治理要做到排查、整改、复查、销号等闭环管理，建立包含各环节记录的隐患治理台账，保障设备设施处在良好的安全运行状态。</w:t>
      </w:r>
    </w:p>
    <w:p>
      <w:pPr>
        <w:pStyle w:val="10"/>
        <w:adjustRightInd w:val="0"/>
        <w:snapToGrid w:val="0"/>
        <w:spacing w:line="360" w:lineRule="auto"/>
        <w:ind w:firstLine="640" w:firstLineChars="200"/>
        <w:jc w:val="both"/>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w:t>
      </w:r>
      <w:r>
        <w:rPr>
          <w:rFonts w:hint="eastAsia" w:ascii="仿宋" w:hAnsi="仿宋" w:eastAsia="仿宋" w:cs="仿宋"/>
          <w:sz w:val="32"/>
          <w:szCs w:val="32"/>
          <w:lang w:eastAsia="zh-CN"/>
        </w:rPr>
        <w:t>生产</w:t>
      </w:r>
      <w:r>
        <w:rPr>
          <w:rFonts w:hint="eastAsia" w:ascii="仿宋" w:hAnsi="仿宋" w:eastAsia="仿宋" w:cs="仿宋"/>
          <w:sz w:val="32"/>
          <w:szCs w:val="32"/>
        </w:rPr>
        <w:t>经营要加强从业人员安全教育培训，保证主要负责人和安全生产管理人员具备与从事的生产经营活动相应的安全知识和管理能力，保证从业人员经安全教育和培训合格，熟悉本单位的规章制度和操作规程，了解事故应急处理措施。</w:t>
      </w:r>
    </w:p>
    <w:p>
      <w:pPr>
        <w:pStyle w:val="10"/>
        <w:adjustRightInd w:val="0"/>
        <w:snapToGrid w:val="0"/>
        <w:spacing w:line="360" w:lineRule="auto"/>
        <w:ind w:firstLine="640" w:firstLineChars="200"/>
        <w:jc w:val="both"/>
        <w:rPr>
          <w:rFonts w:ascii="仿宋" w:hAnsi="仿宋" w:eastAsia="仿宋" w:cs="仿宋"/>
          <w:sz w:val="32"/>
          <w:szCs w:val="32"/>
          <w:lang w:eastAsia="zh-CN"/>
        </w:rPr>
      </w:pPr>
      <w:r>
        <w:rPr>
          <w:rFonts w:hint="eastAsia" w:ascii="仿宋" w:hAnsi="仿宋" w:eastAsia="仿宋" w:cs="仿宋"/>
          <w:sz w:val="32"/>
          <w:szCs w:val="32"/>
        </w:rPr>
        <w:t>（二）各安全监管部门及街道办要认真</w:t>
      </w:r>
      <w:r>
        <w:rPr>
          <w:rFonts w:hint="eastAsia" w:ascii="仿宋" w:hAnsi="仿宋" w:eastAsia="仿宋" w:cs="仿宋"/>
          <w:sz w:val="32"/>
          <w:szCs w:val="32"/>
          <w:lang w:eastAsia="zh-CN"/>
        </w:rPr>
        <w:t>履行</w:t>
      </w:r>
      <w:r>
        <w:rPr>
          <w:rFonts w:hint="eastAsia" w:ascii="仿宋" w:hAnsi="仿宋" w:eastAsia="仿宋" w:cs="仿宋"/>
          <w:sz w:val="32"/>
          <w:szCs w:val="32"/>
        </w:rPr>
        <w:t>《安全生产法》的有关规定，全面落实《中共中央国务院关于推进安全生产领域改革发展的意见》及安全生产“三个必须”原则等国家有关文件要求，以此为鉴，加强安全生产宣传教育及安全监管力度，防范此类事故的再次发生。</w:t>
      </w:r>
    </w:p>
    <w:p>
      <w:pPr>
        <w:pStyle w:val="10"/>
        <w:adjustRightInd w:val="0"/>
        <w:snapToGrid w:val="0"/>
        <w:spacing w:line="360" w:lineRule="auto"/>
        <w:ind w:firstLine="3106" w:firstLineChars="967"/>
        <w:jc w:val="both"/>
        <w:rPr>
          <w:rFonts w:ascii="仿宋" w:hAnsi="仿宋" w:eastAsia="仿宋" w:cs="仿宋"/>
          <w:b/>
          <w:bCs/>
          <w:sz w:val="32"/>
          <w:szCs w:val="32"/>
          <w:lang w:val="en-US" w:eastAsia="zh-CN"/>
        </w:rPr>
      </w:pPr>
    </w:p>
    <w:p>
      <w:pPr>
        <w:pStyle w:val="10"/>
        <w:adjustRightInd w:val="0"/>
        <w:snapToGrid w:val="0"/>
        <w:spacing w:line="360" w:lineRule="auto"/>
        <w:ind w:firstLine="3094" w:firstLineChars="967"/>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海南于朝建筑材料有限公司</w:t>
      </w:r>
    </w:p>
    <w:p>
      <w:pPr>
        <w:pStyle w:val="10"/>
        <w:adjustRightInd w:val="0"/>
        <w:snapToGrid w:val="0"/>
        <w:spacing w:line="360" w:lineRule="auto"/>
        <w:ind w:firstLine="3094" w:firstLineChars="967"/>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w:t>
      </w:r>
      <w:r>
        <w:rPr>
          <w:rFonts w:ascii="仿宋" w:hAnsi="仿宋" w:eastAsia="仿宋" w:cs="仿宋"/>
          <w:sz w:val="32"/>
          <w:szCs w:val="32"/>
          <w:lang w:val="en-US" w:eastAsia="zh-CN"/>
        </w:rPr>
        <w:t>10 .15”</w:t>
      </w:r>
      <w:r>
        <w:rPr>
          <w:rFonts w:hint="eastAsia" w:ascii="仿宋" w:hAnsi="仿宋" w:eastAsia="仿宋" w:cs="仿宋"/>
          <w:sz w:val="32"/>
          <w:szCs w:val="32"/>
          <w:lang w:val="en-US" w:eastAsia="zh-CN"/>
        </w:rPr>
        <w:t>触电事故调查组</w:t>
      </w:r>
    </w:p>
    <w:p>
      <w:pPr>
        <w:pStyle w:val="10"/>
        <w:adjustRightInd w:val="0"/>
        <w:snapToGrid w:val="0"/>
        <w:spacing w:line="360" w:lineRule="auto"/>
        <w:ind w:firstLine="3840" w:firstLineChars="1200"/>
        <w:jc w:val="both"/>
        <w:rPr>
          <w:rFonts w:ascii="仿宋" w:hAnsi="仿宋" w:eastAsia="仿宋" w:cs="仿宋"/>
          <w:sz w:val="32"/>
          <w:szCs w:val="32"/>
          <w:lang w:val="en-US" w:eastAsia="zh-CN"/>
        </w:rPr>
      </w:pPr>
      <w:r>
        <w:rPr>
          <w:rFonts w:ascii="仿宋" w:hAnsi="仿宋" w:eastAsia="仿宋" w:cs="仿宋"/>
          <w:sz w:val="32"/>
          <w:szCs w:val="32"/>
          <w:lang w:val="en-US" w:eastAsia="zh-CN"/>
        </w:rPr>
        <w:t>2022年</w:t>
      </w:r>
      <w:r>
        <w:rPr>
          <w:rFonts w:hint="eastAsia" w:ascii="仿宋" w:hAnsi="仿宋" w:eastAsia="仿宋" w:cs="仿宋"/>
          <w:sz w:val="32"/>
          <w:szCs w:val="32"/>
          <w:lang w:val="en-US" w:eastAsia="zh-CN"/>
        </w:rPr>
        <w:t>4</w:t>
      </w:r>
      <w:r>
        <w:rPr>
          <w:rFonts w:ascii="仿宋" w:hAnsi="仿宋" w:eastAsia="仿宋" w:cs="仿宋"/>
          <w:sz w:val="32"/>
          <w:szCs w:val="32"/>
          <w:lang w:val="en-US" w:eastAsia="zh-CN"/>
        </w:rPr>
        <w:t>月</w:t>
      </w:r>
      <w:r>
        <w:rPr>
          <w:rFonts w:hint="eastAsia" w:ascii="仿宋" w:hAnsi="仿宋" w:eastAsia="仿宋" w:cs="仿宋"/>
          <w:sz w:val="32"/>
          <w:szCs w:val="32"/>
          <w:lang w:val="en-US" w:eastAsia="zh-CN"/>
        </w:rPr>
        <w:t>25</w:t>
      </w:r>
      <w:r>
        <w:rPr>
          <w:rFonts w:ascii="仿宋" w:hAnsi="仿宋" w:eastAsia="仿宋" w:cs="仿宋"/>
          <w:sz w:val="32"/>
          <w:szCs w:val="32"/>
          <w:lang w:val="en-US" w:eastAsia="zh-CN"/>
        </w:rPr>
        <w:t>日</w:t>
      </w:r>
    </w:p>
    <w:p>
      <w:pPr>
        <w:pStyle w:val="10"/>
        <w:adjustRightInd w:val="0"/>
        <w:snapToGrid w:val="0"/>
        <w:spacing w:line="360" w:lineRule="auto"/>
        <w:ind w:firstLine="0"/>
        <w:jc w:val="both"/>
        <w:rPr>
          <w:rFonts w:ascii="仿宋" w:hAnsi="仿宋" w:eastAsia="仿宋" w:cs="仿宋"/>
          <w:b/>
          <w:bCs/>
          <w:sz w:val="32"/>
          <w:szCs w:val="32"/>
          <w:lang w:val="en-US" w:eastAsia="zh-CN"/>
        </w:rPr>
      </w:pPr>
    </w:p>
    <w:p>
      <w:pPr>
        <w:pStyle w:val="10"/>
        <w:adjustRightInd w:val="0"/>
        <w:snapToGrid w:val="0"/>
        <w:spacing w:line="360" w:lineRule="auto"/>
        <w:ind w:firstLine="0"/>
        <w:jc w:val="both"/>
        <w:rPr>
          <w:rFonts w:ascii="仿宋" w:hAnsi="仿宋" w:eastAsia="仿宋" w:cs="仿宋"/>
          <w:b/>
          <w:bCs/>
          <w:sz w:val="32"/>
          <w:szCs w:val="32"/>
          <w:lang w:val="en-US" w:eastAsia="zh-CN"/>
        </w:rPr>
      </w:pPr>
      <w:r>
        <w:rPr>
          <w:rFonts w:hint="eastAsia" w:ascii="仿宋" w:hAnsi="仿宋" w:eastAsia="仿宋" w:cs="仿宋"/>
          <w:b/>
          <w:bCs/>
          <w:sz w:val="32"/>
          <w:szCs w:val="32"/>
          <w:lang w:val="en-US" w:eastAsia="zh-CN"/>
        </w:rPr>
        <w:t>七.附件：</w:t>
      </w:r>
    </w:p>
    <w:p>
      <w:pPr>
        <w:pStyle w:val="10"/>
        <w:adjustRightInd w:val="0"/>
        <w:snapToGrid w:val="0"/>
        <w:spacing w:line="360" w:lineRule="auto"/>
        <w:ind w:firstLine="0"/>
        <w:jc w:val="both"/>
        <w:rPr>
          <w:rFonts w:ascii="仿宋" w:hAnsi="仿宋" w:eastAsia="仿宋" w:cs="仿宋"/>
          <w:bCs/>
          <w:sz w:val="32"/>
          <w:szCs w:val="32"/>
          <w:lang w:val="en-US" w:eastAsia="zh-CN"/>
        </w:rPr>
      </w:pPr>
      <w:r>
        <w:rPr>
          <w:rFonts w:hint="eastAsia" w:ascii="仿宋" w:hAnsi="仿宋" w:eastAsia="仿宋" w:cs="仿宋"/>
          <w:bCs/>
          <w:sz w:val="32"/>
          <w:szCs w:val="32"/>
          <w:lang w:val="en-US" w:eastAsia="zh-CN"/>
        </w:rPr>
        <w:t>（一）现场勘验照片</w:t>
      </w:r>
    </w:p>
    <w:p>
      <w:pPr>
        <w:pStyle w:val="10"/>
        <w:adjustRightInd w:val="0"/>
        <w:snapToGrid w:val="0"/>
        <w:spacing w:line="360" w:lineRule="auto"/>
        <w:ind w:firstLine="0"/>
        <w:jc w:val="both"/>
        <w:rPr>
          <w:rFonts w:ascii="仿宋" w:hAnsi="仿宋" w:eastAsia="仿宋" w:cs="仿宋"/>
          <w:bCs/>
          <w:sz w:val="32"/>
          <w:szCs w:val="32"/>
          <w:lang w:val="en-US" w:eastAsia="zh-CN"/>
        </w:rPr>
      </w:pPr>
      <w:r>
        <w:rPr>
          <w:rFonts w:hint="eastAsia" w:ascii="仿宋" w:hAnsi="仿宋" w:eastAsia="仿宋" w:cs="仿宋"/>
          <w:bCs/>
          <w:sz w:val="32"/>
          <w:szCs w:val="32"/>
          <w:lang w:val="en-US" w:eastAsia="zh-CN"/>
        </w:rPr>
        <w:t>（二）询问笔录</w:t>
      </w:r>
    </w:p>
    <w:p>
      <w:pPr>
        <w:pStyle w:val="10"/>
        <w:adjustRightInd w:val="0"/>
        <w:snapToGrid w:val="0"/>
        <w:spacing w:line="360" w:lineRule="auto"/>
        <w:ind w:firstLine="0"/>
        <w:jc w:val="both"/>
        <w:rPr>
          <w:rFonts w:ascii="仿宋" w:hAnsi="仿宋" w:eastAsia="仿宋" w:cs="仿宋"/>
          <w:bCs/>
          <w:sz w:val="32"/>
          <w:szCs w:val="32"/>
          <w:lang w:val="en-US" w:eastAsia="zh-CN"/>
        </w:rPr>
      </w:pPr>
      <w:r>
        <w:rPr>
          <w:rFonts w:hint="eastAsia" w:ascii="仿宋" w:hAnsi="仿宋" w:eastAsia="仿宋" w:cs="仿宋"/>
          <w:bCs/>
          <w:sz w:val="32"/>
          <w:szCs w:val="32"/>
          <w:lang w:val="en-US" w:eastAsia="zh-CN"/>
        </w:rPr>
        <w:t>（三）医院诊断书</w:t>
      </w:r>
    </w:p>
    <w:p>
      <w:pPr>
        <w:pStyle w:val="10"/>
        <w:adjustRightInd w:val="0"/>
        <w:snapToGrid w:val="0"/>
        <w:spacing w:line="360" w:lineRule="auto"/>
        <w:ind w:firstLine="0"/>
        <w:jc w:val="both"/>
        <w:rPr>
          <w:rFonts w:ascii="仿宋" w:hAnsi="仿宋" w:eastAsia="仿宋" w:cs="仿宋"/>
          <w:sz w:val="32"/>
          <w:szCs w:val="32"/>
          <w:lang w:val="en-US" w:eastAsia="zh-CN"/>
        </w:rPr>
      </w:pPr>
      <w:r>
        <w:rPr>
          <w:rFonts w:hint="eastAsia" w:ascii="仿宋" w:hAnsi="仿宋" w:eastAsia="仿宋" w:cs="仿宋"/>
          <w:bCs/>
          <w:sz w:val="32"/>
          <w:szCs w:val="32"/>
          <w:lang w:val="en-US" w:eastAsia="zh-CN"/>
        </w:rPr>
        <w:t>（四）法医学尸表检验报告书</w:t>
      </w: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1814" w:firstLineChars="567"/>
        <w:jc w:val="both"/>
        <w:rPr>
          <w:rFonts w:ascii="仿宋" w:hAnsi="仿宋" w:eastAsia="仿宋" w:cs="仿宋"/>
          <w:sz w:val="32"/>
          <w:szCs w:val="32"/>
          <w:lang w:val="en-US" w:eastAsia="zh-CN"/>
        </w:rPr>
      </w:pPr>
    </w:p>
    <w:p>
      <w:pPr>
        <w:pStyle w:val="10"/>
        <w:adjustRightInd w:val="0"/>
        <w:snapToGrid w:val="0"/>
        <w:spacing w:line="360" w:lineRule="auto"/>
        <w:ind w:firstLine="0"/>
        <w:jc w:val="both"/>
        <w:rPr>
          <w:rFonts w:ascii="仿宋" w:hAnsi="仿宋" w:eastAsia="仿宋" w:cs="仿宋"/>
          <w:sz w:val="32"/>
          <w:szCs w:val="32"/>
          <w:lang w:val="en-US" w:eastAsia="zh-CN"/>
        </w:rPr>
      </w:pPr>
    </w:p>
    <w:p>
      <w:pPr>
        <w:pStyle w:val="10"/>
        <w:adjustRightInd w:val="0"/>
        <w:snapToGrid w:val="0"/>
        <w:spacing w:line="360" w:lineRule="auto"/>
        <w:ind w:firstLine="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 xml:space="preserve">事故调查组成员签名： </w:t>
      </w:r>
    </w:p>
    <w:p>
      <w:pPr>
        <w:spacing w:line="1" w:lineRule="exact"/>
        <w:rPr>
          <w:lang w:eastAsia="zh-CN"/>
        </w:rPr>
        <w:sectPr>
          <w:footerReference r:id="rId3" w:type="default"/>
          <w:footerReference r:id="rId4" w:type="even"/>
          <w:pgSz w:w="11900" w:h="16840"/>
          <w:pgMar w:top="2505" w:right="1883" w:bottom="1470" w:left="2170" w:header="2077" w:footer="3" w:gutter="0"/>
          <w:pgNumType w:start="1"/>
          <w:cols w:space="720" w:num="1"/>
          <w:docGrid w:linePitch="360" w:charSpace="0"/>
        </w:sectPr>
      </w:pPr>
    </w:p>
    <w:p>
      <w:pPr>
        <w:pStyle w:val="10"/>
        <w:adjustRightInd w:val="0"/>
        <w:snapToGrid w:val="0"/>
        <w:spacing w:line="360" w:lineRule="auto"/>
        <w:ind w:firstLine="0"/>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pStyle w:val="10"/>
        <w:adjustRightInd w:val="0"/>
        <w:snapToGrid w:val="0"/>
        <w:spacing w:line="360" w:lineRule="auto"/>
        <w:ind w:firstLine="645"/>
        <w:jc w:val="both"/>
        <w:rPr>
          <w:rFonts w:ascii="仿宋" w:hAnsi="仿宋" w:eastAsia="仿宋" w:cs="仿宋"/>
          <w:sz w:val="32"/>
          <w:szCs w:val="32"/>
          <w:lang w:val="en-US" w:eastAsia="zh-CN"/>
        </w:rPr>
      </w:pPr>
    </w:p>
    <w:p>
      <w:pPr>
        <w:spacing w:line="1" w:lineRule="exact"/>
        <w:rPr>
          <w:lang w:eastAsia="zh-CN"/>
        </w:rPr>
        <w:sectPr>
          <w:footerReference r:id="rId5" w:type="default"/>
          <w:footerReference r:id="rId6" w:type="even"/>
          <w:type w:val="continuous"/>
          <w:pgSz w:w="11900" w:h="16840"/>
          <w:pgMar w:top="2505" w:right="0" w:bottom="1470" w:left="0" w:header="0" w:footer="3" w:gutter="0"/>
          <w:cols w:space="720" w:num="1"/>
          <w:docGrid w:linePitch="360" w:charSpace="0"/>
        </w:sectPr>
      </w:pPr>
    </w:p>
    <w:p>
      <w:pPr>
        <w:jc w:val="center"/>
        <w:rPr>
          <w:sz w:val="2"/>
          <w:szCs w:val="2"/>
        </w:rPr>
      </w:pPr>
      <w:r>
        <w:rPr>
          <w:lang w:eastAsia="zh-CN" w:bidi="ar-SA"/>
        </w:rPr>
        <w:drawing>
          <wp:inline distT="0" distB="0" distL="114300" distR="114300">
            <wp:extent cx="4081145" cy="2205355"/>
            <wp:effectExtent l="0" t="0" r="14605" b="444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stretch>
                      <a:fillRect/>
                    </a:stretch>
                  </pic:blipFill>
                  <pic:spPr>
                    <a:xfrm>
                      <a:off x="0" y="0"/>
                      <a:ext cx="4081145" cy="2205355"/>
                    </a:xfrm>
                    <a:prstGeom prst="rect">
                      <a:avLst/>
                    </a:prstGeom>
                    <a:noFill/>
                    <a:ln>
                      <a:noFill/>
                    </a:ln>
                  </pic:spPr>
                </pic:pic>
              </a:graphicData>
            </a:graphic>
          </wp:inline>
        </w:drawing>
      </w:r>
    </w:p>
    <w:p>
      <w:pPr>
        <w:pStyle w:val="11"/>
        <w:spacing w:after="120"/>
        <w:ind w:left="835" w:firstLine="0"/>
        <w:rPr>
          <w:sz w:val="26"/>
          <w:szCs w:val="26"/>
        </w:rPr>
      </w:pPr>
      <w:r>
        <w:rPr>
          <w:sz w:val="26"/>
          <w:szCs w:val="26"/>
        </w:rPr>
        <w:t>图</w:t>
      </w:r>
      <w:r>
        <w:rPr>
          <w:rFonts w:hint="eastAsia" w:ascii="Times New Roman" w:hAnsi="Times New Roman" w:cs="Times New Roman"/>
          <w:sz w:val="26"/>
          <w:szCs w:val="26"/>
          <w:lang w:val="en-US" w:eastAsia="zh-CN"/>
        </w:rPr>
        <w:t>1</w:t>
      </w:r>
      <w:r>
        <w:rPr>
          <w:sz w:val="26"/>
          <w:szCs w:val="26"/>
        </w:rPr>
        <w:t>.线路接线图及</w:t>
      </w:r>
      <w:r>
        <w:rPr>
          <w:rFonts w:ascii="Times New Roman" w:hAnsi="Times New Roman" w:eastAsia="Times New Roman" w:cs="Times New Roman"/>
          <w:sz w:val="26"/>
          <w:szCs w:val="26"/>
        </w:rPr>
        <w:t>#9</w:t>
      </w:r>
      <w:r>
        <w:rPr>
          <w:sz w:val="26"/>
          <w:szCs w:val="26"/>
        </w:rPr>
        <w:t>杆用户专线产权分界点</w:t>
      </w:r>
    </w:p>
    <w:p>
      <w:pPr>
        <w:pStyle w:val="11"/>
        <w:spacing w:after="120"/>
        <w:ind w:left="835" w:firstLine="0"/>
        <w:rPr>
          <w:sz w:val="26"/>
          <w:szCs w:val="26"/>
        </w:rPr>
      </w:pPr>
    </w:p>
    <w:p>
      <w:pPr>
        <w:pStyle w:val="11"/>
        <w:spacing w:after="120"/>
        <w:ind w:left="835" w:firstLine="0"/>
        <w:jc w:val="both"/>
        <w:rPr>
          <w:lang w:eastAsia="zh-CN"/>
        </w:rPr>
      </w:pPr>
      <w:r>
        <w:rPr>
          <w:lang w:val="en-US" w:eastAsia="zh-CN" w:bidi="ar-SA"/>
        </w:rPr>
        <w:drawing>
          <wp:inline distT="0" distB="0" distL="114300" distR="114300">
            <wp:extent cx="4474845" cy="5068570"/>
            <wp:effectExtent l="0" t="0" r="190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4474845" cy="5068570"/>
                    </a:xfrm>
                    <a:prstGeom prst="rect">
                      <a:avLst/>
                    </a:prstGeom>
                    <a:noFill/>
                    <a:ln>
                      <a:noFill/>
                    </a:ln>
                  </pic:spPr>
                </pic:pic>
              </a:graphicData>
            </a:graphic>
          </wp:inline>
        </w:drawing>
      </w:r>
    </w:p>
    <w:p/>
    <w:sectPr>
      <w:footerReference r:id="rId7" w:type="default"/>
      <w:footerReference r:id="rId8" w:type="even"/>
      <w:pgSz w:w="11900" w:h="16840"/>
      <w:pgMar w:top="1940" w:right="1896" w:bottom="1639" w:left="2112"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path/>
          <v:fill on="f" focussize="0,0"/>
          <v:stroke on="f" joinstyle="miter"/>
          <v:imagedata o:title=""/>
          <o:lock v:ext="edit"/>
          <v:textbox inset="0mm,0mm,0mm,0mm" style="mso-fit-shape-to-text:t;">
            <w:txbxContent>
              <w:p>
                <w:pPr>
                  <w:pStyle w:val="4"/>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11</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33" o:spid="_x0000_s1033" o:spt="202" type="#_x0000_t202" style="position:absolute;left:0pt;margin-left:294.6pt;margin-top:773.25pt;height:5.4pt;width:12.95pt;mso-position-horizontal-relative:page;mso-position-vertical-relative:page;mso-wrap-style:none;z-index:-251657216;mso-width-relative:page;mso-height-relative:page;" filled="f" stroked="f" coordsize="21600,21600" o:gfxdata="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flHj2AAAAA0BAAAPAAAAAAAAAAEAIAAAACIAAABkcnMvZG93bnJldi54bWxQSwECFAAUAAAACACH&#10;TuJAEMWg97IBAABKAwAADgAAAAAAAAABACAAAAAnAQAAZHJzL2Uyb0RvYy54bWxQSwUGAAAAAAYA&#10;BgBZAQAASwUAAAAA&#10;">
          <v:path/>
          <v:fill on="f" focussize="0,0"/>
          <v:stroke on="f" joinstyle="miter"/>
          <v:imagedata o:title=""/>
          <o:lock v:ext="edit"/>
          <v:textbox inset="0mm,0mm,0mm,0mm" style="mso-fit-shape-to-text:t;">
            <w:txbxContent>
              <w:p>
                <w:pPr>
                  <w:pStyle w:val="12"/>
                  <w:rPr>
                    <w:sz w:val="12"/>
                    <w:szCs w:val="12"/>
                  </w:rPr>
                </w:pPr>
                <w:r>
                  <w:rPr>
                    <w:rFonts w:ascii="宋体" w:hAnsi="宋体" w:eastAsia="宋体" w:cs="宋体"/>
                    <w:sz w:val="12"/>
                    <w:szCs w:val="12"/>
                  </w:rPr>
                  <w:t>-</w:t>
                </w:r>
                <w:r>
                  <w:fldChar w:fldCharType="begin"/>
                </w:r>
                <w:r>
                  <w:instrText xml:space="preserve"> PAGE \* MERGEFORMAT </w:instrText>
                </w:r>
                <w:r>
                  <w:fldChar w:fldCharType="separate"/>
                </w:r>
                <w:r>
                  <w:rPr>
                    <w:rFonts w:ascii="宋体" w:hAnsi="宋体" w:eastAsia="宋体" w:cs="宋体"/>
                    <w:sz w:val="12"/>
                    <w:szCs w:val="12"/>
                  </w:rPr>
                  <w:t>8</w:t>
                </w:r>
                <w:r>
                  <w:rPr>
                    <w:rFonts w:ascii="宋体" w:hAnsi="宋体" w:eastAsia="宋体" w:cs="宋体"/>
                    <w:sz w:val="12"/>
                    <w:szCs w:val="12"/>
                  </w:rPr>
                  <w:fldChar w:fldCharType="end"/>
                </w:r>
                <w:r>
                  <w:rPr>
                    <w:rFonts w:ascii="宋体" w:hAnsi="宋体" w:eastAsia="宋体" w:cs="宋体"/>
                    <w:sz w:val="12"/>
                    <w:szCs w:val="12"/>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32" o:spid="_x0000_s1032" o:spt="202" type="#_x0000_t202" style="position:absolute;left:0pt;margin-top:773.25pt;height:5.4pt;width:12.95pt;mso-position-horizontal:left;mso-position-horizontal-relative:margin;mso-position-vertical-relative:page;mso-wrap-style:none;z-index:251663360;mso-width-relative:page;mso-height-relative:page;" filled="f" stroked="f" coordsize="21600,21600" o:gfxdata="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CuqXV&#10;AAAACQEAAA8AAAAAAAAAAQAgAAAAIgAAAGRycy9kb3ducmV2LnhtbFBLAQIUABQAAAAIAIdO4kDA&#10;wUIgsQEAAEoDAAAOAAAAAAAAAAEAIAAAACQBAABkcnMvZTJvRG9jLnhtbFBLBQYAAAAABgAGAFkB&#10;AABHBQAAAAA=&#10;">
          <v:path/>
          <v:fill on="f" focussize="0,0"/>
          <v:stroke on="f" joinstyle="miter"/>
          <v:imagedata o:title=""/>
          <o:lock v:ext="edit"/>
          <v:textbox inset="0mm,0mm,0mm,0mm" style="mso-fit-shape-to-text:t;">
            <w:txbxContent>
              <w:p>
                <w:pPr>
                  <w:pStyle w:val="12"/>
                  <w:rPr>
                    <w:rFonts w:eastAsia="宋体"/>
                    <w:sz w:val="12"/>
                    <w:szCs w:val="12"/>
                    <w:lang w:eastAsia="zh-CN"/>
                  </w:rPr>
                </w:pPr>
                <w:r>
                  <w:rPr>
                    <w:rFonts w:hint="eastAsia" w:eastAsia="宋体"/>
                    <w:sz w:val="12"/>
                    <w:szCs w:val="12"/>
                    <w:lang w:eastAsia="zh-CN"/>
                  </w:rPr>
                  <w:fldChar w:fldCharType="begin"/>
                </w:r>
                <w:r>
                  <w:rPr>
                    <w:rFonts w:hint="eastAsia" w:eastAsia="宋体"/>
                    <w:sz w:val="12"/>
                    <w:szCs w:val="12"/>
                    <w:lang w:eastAsia="zh-CN"/>
                  </w:rPr>
                  <w:instrText xml:space="preserve"> PAGE  \* MERGEFORMAT </w:instrText>
                </w:r>
                <w:r>
                  <w:rPr>
                    <w:rFonts w:hint="eastAsia" w:eastAsia="宋体"/>
                    <w:sz w:val="12"/>
                    <w:szCs w:val="12"/>
                    <w:lang w:eastAsia="zh-CN"/>
                  </w:rPr>
                  <w:fldChar w:fldCharType="separate"/>
                </w:r>
                <w:r>
                  <w:rPr>
                    <w:rFonts w:eastAsia="宋体"/>
                    <w:sz w:val="12"/>
                    <w:szCs w:val="12"/>
                    <w:lang w:eastAsia="zh-CN"/>
                  </w:rPr>
                  <w:t>11</w:t>
                </w:r>
                <w:r>
                  <w:rPr>
                    <w:rFonts w:hint="eastAsia" w:eastAsia="宋体"/>
                    <w:sz w:val="12"/>
                    <w:szCs w:val="12"/>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31" o:spid="_x0000_s1031" o:spt="202" type="#_x0000_t202" style="position:absolute;left:0pt;margin-top:773.25pt;height:5.4pt;width:12.95pt;mso-position-horizontal:center;mso-position-horizontal-relative:margin;mso-position-vertical-relative:page;mso-wrap-style:none;z-index:251662336;mso-width-relative:page;mso-height-relative:page;" filled="f" stroked="f" coordsize="21600,21600" o:gfxdata="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CuqXV&#10;AAAACQEAAA8AAAAAAAAAAQAgAAAAIgAAAGRycy9kb3ducmV2LnhtbFBLAQIUABQAAAAIAIdO4kAr&#10;wR9PsQEAAEoDAAAOAAAAAAAAAAEAIAAAACQBAABkcnMvZTJvRG9jLnhtbFBLBQYAAAAABgAGAFkB&#10;AABHBQAAAAA=&#10;">
          <v:path/>
          <v:fill on="f" focussize="0,0"/>
          <v:stroke on="f" joinstyle="miter"/>
          <v:imagedata o:title=""/>
          <o:lock v:ext="edit"/>
          <v:textbox inset="0mm,0mm,0mm,0mm" style="mso-fit-shape-to-text:t;">
            <w:txbxContent>
              <w:p>
                <w:pPr>
                  <w:pStyle w:val="12"/>
                  <w:rPr>
                    <w:rFonts w:eastAsia="宋体"/>
                    <w:sz w:val="12"/>
                    <w:szCs w:val="12"/>
                    <w:lang w:eastAsia="zh-CN"/>
                  </w:rPr>
                </w:pPr>
                <w:r>
                  <w:rPr>
                    <w:rFonts w:hint="eastAsia" w:eastAsia="宋体"/>
                    <w:sz w:val="12"/>
                    <w:szCs w:val="12"/>
                    <w:lang w:eastAsia="zh-CN"/>
                  </w:rPr>
                  <w:fldChar w:fldCharType="begin"/>
                </w:r>
                <w:r>
                  <w:rPr>
                    <w:rFonts w:hint="eastAsia" w:eastAsia="宋体"/>
                    <w:sz w:val="12"/>
                    <w:szCs w:val="12"/>
                    <w:lang w:eastAsia="zh-CN"/>
                  </w:rPr>
                  <w:instrText xml:space="preserve"> PAGE  \* MERGEFORMAT </w:instrText>
                </w:r>
                <w:r>
                  <w:rPr>
                    <w:rFonts w:hint="eastAsia" w:eastAsia="宋体"/>
                    <w:sz w:val="12"/>
                    <w:szCs w:val="12"/>
                    <w:lang w:eastAsia="zh-CN"/>
                  </w:rPr>
                  <w:fldChar w:fldCharType="separate"/>
                </w:r>
                <w:r>
                  <w:rPr>
                    <w:rFonts w:hint="eastAsia" w:eastAsia="宋体"/>
                    <w:sz w:val="12"/>
                    <w:szCs w:val="12"/>
                    <w:lang w:eastAsia="zh-CN"/>
                  </w:rPr>
                  <w:t>1</w:t>
                </w:r>
                <w:r>
                  <w:rPr>
                    <w:rFonts w:hint="eastAsia" w:eastAsia="宋体"/>
                    <w:sz w:val="12"/>
                    <w:szCs w:val="12"/>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30" o:spid="_x0000_s1030" o:spt="202" type="#_x0000_t202" style="position:absolute;left:0pt;margin-top:0pt;height:144pt;width:144pt;mso-position-horizontal:lef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path/>
          <v:fill on="f" focussize="0,0"/>
          <v:stroke on="f" joinstyle="miter"/>
          <v:imagedata o:title=""/>
          <o:lock v:ext="edit"/>
          <v:textbox inset="0mm,0mm,0mm,0mm" style="mso-fit-shape-to-text:t;">
            <w:txbxContent>
              <w:p>
                <w:pPr>
                  <w:pStyle w:val="4"/>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12</w:t>
                </w:r>
                <w:r>
                  <w:rPr>
                    <w:rFonts w:hint="eastAsia" w:eastAsia="宋体"/>
                    <w:lang w:eastAsia="zh-CN"/>
                  </w:rPr>
                  <w:fldChar w:fldCharType="end"/>
                </w:r>
              </w:p>
            </w:txbxContent>
          </v:textbox>
        </v:shape>
      </w:pict>
    </w:r>
    <w:r>
      <w:pict>
        <v:shape id="_x0000_s1029" o:spid="_x0000_s1029" o:spt="202" type="#_x0000_t202" style="position:absolute;left:0pt;margin-left:294.25pt;margin-top:775.95pt;height:5.75pt;width:13.3pt;mso-position-horizontal-relative:page;mso-position-vertical-relative:page;mso-wrap-style:none;z-index:-251655168;mso-width-relative:page;mso-height-relative:page;" filled="f" stroked="f" coordsize="21600,21600" o:gfxdata="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5SK&#10;0tgAAAANAQAADwAAAAAAAAABACAAAAAiAAAAZHJzL2Rvd25yZXYueG1sUEsBAhQAFAAAAAgAh07i&#10;QE7P2gywAQAATAMAAA4AAAAAAAAAAQAgAAAAJwEAAGRycy9lMm9Eb2MueG1sUEsFBgAAAAAGAAYA&#10;WQEAAEkFAAAAAA==&#10;">
          <v:path/>
          <v:fill on="f" focussize="0,0"/>
          <v:stroke on="f" joinstyle="miter"/>
          <v:imagedata o:title=""/>
          <o:lock v:ext="edit"/>
          <v:textbox inset="0mm,0mm,0mm,0mm" style="mso-fit-shape-to-text:t;">
            <w:txbxContent>
              <w:p>
                <w:pPr>
                  <w:pStyle w:val="13"/>
                </w:pPr>
                <w:r>
                  <w:t>-9</w:t>
                </w:r>
                <w:r>
                  <w:rPr>
                    <w:lang w:val="zh-TW" w:eastAsia="zh-TW" w:bidi="zh-TW"/>
                  </w:rPr>
                  <w:t>-</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_x0000_s1028" o:spid="_x0000_s1028"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MAwmbStAQAASwMA&#10;AA4AAAAAAAAAAQAgAAAAHgEAAGRycy9lMm9Eb2MueG1sUEsFBgAAAAAGAAYAWQEAAD0FAAAAAA==&#10;">
          <v:path/>
          <v:fill on="f" focussize="0,0"/>
          <v:stroke on="f" joinstyle="miter"/>
          <v:imagedata o:title=""/>
          <o:lock v:ext="edit"/>
          <v:textbox inset="0mm,0mm,0mm,0mm" style="mso-fit-shape-to-text:t;">
            <w:txbxContent>
              <w:p>
                <w:pPr>
                  <w:pStyle w:val="4"/>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r>
      <w:pict>
        <v:shape id="_x0000_s1027" o:spid="_x0000_s1027" o:spt="202" type="#_x0000_t202" style="position:absolute;left:0pt;margin-left:293.9pt;margin-top:765.5pt;height:5.4pt;width:12.6pt;mso-position-horizontal-relative:page;mso-position-vertical-relative:page;mso-wrap-style:none;z-index:-251656192;mso-width-relative:page;mso-height-relative:page;" filled="f" stroked="f" coordsize="21600,21600" o:gfxdata="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WV&#10;md/YAAAADQEAAA8AAAAAAAAAAQAgAAAAIgAAAGRycy9kb3ducmV2LnhtbFBLAQIUABQAAAAIAIdO&#10;4kAmuMlHsQEAAEwDAAAOAAAAAAAAAAEAIAAAACcBAABkcnMvZTJvRG9jLnhtbFBLBQYAAAAABgAG&#10;AFkBAABKBQAAAAA=&#10;">
          <v:path/>
          <v:fill on="f" focussize="0,0"/>
          <v:stroke on="f" joinstyle="miter"/>
          <v:imagedata o:title=""/>
          <o:lock v:ext="edit"/>
          <v:textbox inset="0mm,0mm,0mm,0mm" style="mso-fit-shape-to-text:t;">
            <w:txbxContent>
              <w:p>
                <w:pPr>
                  <w:pStyle w:val="13"/>
                </w:pPr>
                <w:r>
                  <w:t>-11</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F8617C"/>
    <w:multiLevelType w:val="singleLevel"/>
    <w:tmpl w:val="D3F8617C"/>
    <w:lvl w:ilvl="0" w:tentative="0">
      <w:start w:val="2"/>
      <w:numFmt w:val="chineseCounting"/>
      <w:suff w:val="nothing"/>
      <w:lvlText w:val="（%1）"/>
      <w:lvlJc w:val="left"/>
      <w:rPr>
        <w:rFonts w:hint="eastAsia"/>
      </w:rPr>
    </w:lvl>
  </w:abstractNum>
  <w:abstractNum w:abstractNumId="1">
    <w:nsid w:val="51D247E8"/>
    <w:multiLevelType w:val="singleLevel"/>
    <w:tmpl w:val="51D247E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E4ODdjZDNmMzRhNjcxMzdlMmNjNzM4MmNhNzg2MTUifQ=="/>
  </w:docVars>
  <w:rsids>
    <w:rsidRoot w:val="425171E5"/>
    <w:rsid w:val="000923E6"/>
    <w:rsid w:val="001E7CB3"/>
    <w:rsid w:val="00211883"/>
    <w:rsid w:val="003A2EC9"/>
    <w:rsid w:val="003F2F6E"/>
    <w:rsid w:val="00415BFE"/>
    <w:rsid w:val="0044747D"/>
    <w:rsid w:val="005F36B2"/>
    <w:rsid w:val="0071707D"/>
    <w:rsid w:val="007A5FC3"/>
    <w:rsid w:val="00846F43"/>
    <w:rsid w:val="008B3D07"/>
    <w:rsid w:val="009B7F8D"/>
    <w:rsid w:val="00E34334"/>
    <w:rsid w:val="00F15205"/>
    <w:rsid w:val="425171E5"/>
    <w:rsid w:val="5915103E"/>
    <w:rsid w:val="5C6604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20"/>
    </w:pPr>
    <w:rPr>
      <w:sz w:val="32"/>
      <w:szCs w:val="32"/>
    </w:rPr>
  </w:style>
  <w:style w:type="paragraph" w:styleId="3">
    <w:name w:val="Balloon Text"/>
    <w:basedOn w:val="1"/>
    <w:link w:val="15"/>
    <w:uiPriority w:val="0"/>
    <w:rPr>
      <w:sz w:val="18"/>
      <w:szCs w:val="18"/>
    </w:rPr>
  </w:style>
  <w:style w:type="paragraph" w:styleId="4">
    <w:name w:val="footer"/>
    <w:basedOn w:val="1"/>
    <w:uiPriority w:val="0"/>
    <w:pPr>
      <w:tabs>
        <w:tab w:val="center" w:pos="4153"/>
        <w:tab w:val="right" w:pos="8306"/>
      </w:tabs>
      <w:snapToGrid w:val="0"/>
    </w:pPr>
    <w:rPr>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rPr>
      <w:lang w:eastAsia="zh-CN" w:bidi="ar-SA"/>
    </w:rPr>
  </w:style>
  <w:style w:type="paragraph" w:customStyle="1" w:styleId="9">
    <w:name w:val="Heading #1|1"/>
    <w:basedOn w:val="1"/>
    <w:qFormat/>
    <w:uiPriority w:val="0"/>
    <w:pPr>
      <w:spacing w:after="500" w:line="626" w:lineRule="exact"/>
      <w:jc w:val="center"/>
      <w:outlineLvl w:val="0"/>
    </w:pPr>
    <w:rPr>
      <w:rFonts w:ascii="宋体" w:hAnsi="宋体" w:eastAsia="宋体" w:cs="宋体"/>
      <w:color w:val="586673"/>
      <w:sz w:val="40"/>
      <w:szCs w:val="40"/>
      <w:lang w:val="zh-TW" w:eastAsia="zh-TW" w:bidi="zh-TW"/>
    </w:rPr>
  </w:style>
  <w:style w:type="paragraph" w:customStyle="1" w:styleId="10">
    <w:name w:val="Body text|1"/>
    <w:basedOn w:val="1"/>
    <w:qFormat/>
    <w:uiPriority w:val="0"/>
    <w:pPr>
      <w:spacing w:line="442" w:lineRule="auto"/>
      <w:ind w:firstLine="400"/>
    </w:pPr>
    <w:rPr>
      <w:rFonts w:ascii="宋体" w:hAnsi="宋体" w:eastAsia="宋体" w:cs="宋体"/>
      <w:sz w:val="28"/>
      <w:szCs w:val="28"/>
      <w:lang w:val="zh-TW" w:eastAsia="zh-TW" w:bidi="zh-TW"/>
    </w:rPr>
  </w:style>
  <w:style w:type="paragraph" w:customStyle="1" w:styleId="11">
    <w:name w:val="Picture caption|1"/>
    <w:basedOn w:val="1"/>
    <w:qFormat/>
    <w:uiPriority w:val="0"/>
    <w:pPr>
      <w:spacing w:after="60"/>
      <w:ind w:firstLine="330"/>
    </w:pPr>
    <w:rPr>
      <w:rFonts w:ascii="宋体" w:hAnsi="宋体" w:eastAsia="宋体" w:cs="宋体"/>
      <w:sz w:val="28"/>
      <w:szCs w:val="28"/>
      <w:lang w:val="zh-TW" w:eastAsia="zh-TW" w:bidi="zh-TW"/>
    </w:rPr>
  </w:style>
  <w:style w:type="paragraph" w:customStyle="1" w:styleId="12">
    <w:name w:val="Header or footer|2"/>
    <w:basedOn w:val="1"/>
    <w:qFormat/>
    <w:uiPriority w:val="0"/>
    <w:rPr>
      <w:sz w:val="20"/>
      <w:szCs w:val="20"/>
    </w:rPr>
  </w:style>
  <w:style w:type="paragraph" w:customStyle="1" w:styleId="13">
    <w:name w:val="Header or footer|1"/>
    <w:basedOn w:val="1"/>
    <w:qFormat/>
    <w:uiPriority w:val="0"/>
    <w:rPr>
      <w:rFonts w:ascii="宋体" w:hAnsi="宋体" w:eastAsia="宋体" w:cs="宋体"/>
      <w:sz w:val="12"/>
      <w:szCs w:val="12"/>
    </w:rPr>
  </w:style>
  <w:style w:type="character" w:customStyle="1" w:styleId="14">
    <w:name w:val="页眉 Char"/>
    <w:basedOn w:val="8"/>
    <w:link w:val="5"/>
    <w:uiPriority w:val="0"/>
    <w:rPr>
      <w:rFonts w:eastAsia="Times New Roman"/>
      <w:color w:val="000000"/>
      <w:sz w:val="18"/>
      <w:szCs w:val="18"/>
      <w:lang w:eastAsia="en-US" w:bidi="en-US"/>
    </w:rPr>
  </w:style>
  <w:style w:type="character" w:customStyle="1" w:styleId="15">
    <w:name w:val="批注框文本 Char"/>
    <w:basedOn w:val="8"/>
    <w:link w:val="3"/>
    <w:uiPriority w:val="0"/>
    <w:rPr>
      <w:rFonts w:eastAsia="Times New Roman"/>
      <w:color w:val="000000"/>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美兰区</Company>
  <Pages>12</Pages>
  <Words>4227</Words>
  <Characters>4386</Characters>
  <Lines>31</Lines>
  <Paragraphs>8</Paragraphs>
  <TotalTime>85</TotalTime>
  <ScaleCrop>false</ScaleCrop>
  <LinksUpToDate>false</LinksUpToDate>
  <CharactersWithSpaces>4399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2022-04-25T08:02:00Z</dcterms:created>
  <dc:creator>hp</dc:creator>
  <cp:lastModifiedBy>zsw0905</cp:lastModifiedBy>
  <dcterms:modified xsi:type="dcterms:W3CDTF">2022-05-20T00:59:20Z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FD7E48A60AAF4AF5B49DF7A58408CECC</vt:lpwstr>
  </property>
</Properties>
</file>