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84"/>
          <w:szCs w:val="84"/>
          <w:u w:val="single"/>
        </w:rPr>
      </w:pPr>
    </w:p>
    <w:p>
      <w:pPr>
        <w:rPr>
          <w:color w:val="000000" w:themeColor="text1"/>
          <w:sz w:val="84"/>
          <w:szCs w:val="84"/>
          <w:u w:val="single"/>
        </w:rPr>
      </w:pPr>
    </w:p>
    <w:p>
      <w:pPr>
        <w:rPr>
          <w:color w:val="000000" w:themeColor="text1"/>
          <w:sz w:val="84"/>
          <w:szCs w:val="84"/>
          <w:u w:val="single"/>
        </w:rPr>
      </w:pPr>
    </w:p>
    <w:p>
      <w:pPr>
        <w:rPr>
          <w:color w:val="000000" w:themeColor="text1"/>
          <w:sz w:val="84"/>
          <w:szCs w:val="84"/>
          <w:u w:val="single"/>
        </w:rPr>
      </w:pPr>
    </w:p>
    <w:p>
      <w:pPr>
        <w:jc w:val="center"/>
        <w:rPr>
          <w:color w:val="000000" w:themeColor="text1"/>
          <w:sz w:val="52"/>
          <w:szCs w:val="52"/>
        </w:rPr>
      </w:pPr>
      <w:r>
        <w:rPr>
          <w:rFonts w:hint="eastAsia"/>
          <w:color w:val="000000" w:themeColor="text1"/>
          <w:sz w:val="52"/>
          <w:szCs w:val="52"/>
        </w:rPr>
        <w:t>2024年海口市美兰区演丰建设</w:t>
      </w:r>
    </w:p>
    <w:p>
      <w:pPr>
        <w:jc w:val="center"/>
        <w:rPr>
          <w:color w:val="000000" w:themeColor="text1"/>
          <w:sz w:val="52"/>
          <w:szCs w:val="52"/>
        </w:rPr>
      </w:pPr>
      <w:r>
        <w:rPr>
          <w:rFonts w:hint="eastAsia"/>
          <w:color w:val="000000" w:themeColor="text1"/>
          <w:sz w:val="52"/>
          <w:szCs w:val="52"/>
        </w:rPr>
        <w:t>服务中心预算</w:t>
      </w:r>
    </w:p>
    <w:p>
      <w:pPr>
        <w:ind w:firstLine="1680"/>
        <w:jc w:val="center"/>
        <w:rPr>
          <w:color w:val="000000" w:themeColor="text1"/>
          <w:sz w:val="84"/>
          <w:szCs w:val="84"/>
        </w:rPr>
      </w:pPr>
    </w:p>
    <w:p>
      <w:pPr>
        <w:ind w:firstLine="1680"/>
        <w:jc w:val="center"/>
        <w:rPr>
          <w:color w:val="000000" w:themeColor="text1"/>
          <w:sz w:val="84"/>
          <w:szCs w:val="84"/>
        </w:rPr>
      </w:pPr>
    </w:p>
    <w:p>
      <w:pPr>
        <w:ind w:firstLine="1680"/>
        <w:jc w:val="center"/>
        <w:rPr>
          <w:color w:val="000000" w:themeColor="text1"/>
          <w:sz w:val="84"/>
          <w:szCs w:val="84"/>
        </w:rPr>
      </w:pPr>
    </w:p>
    <w:p>
      <w:pPr>
        <w:ind w:firstLine="1680"/>
        <w:jc w:val="center"/>
        <w:rPr>
          <w:color w:val="000000" w:themeColor="text1"/>
          <w:sz w:val="84"/>
          <w:szCs w:val="84"/>
        </w:rPr>
      </w:pPr>
    </w:p>
    <w:p>
      <w:pPr>
        <w:ind w:firstLine="1680"/>
        <w:jc w:val="center"/>
        <w:rPr>
          <w:color w:val="000000" w:themeColor="text1"/>
          <w:sz w:val="84"/>
          <w:szCs w:val="84"/>
        </w:rPr>
      </w:pPr>
    </w:p>
    <w:p>
      <w:pPr>
        <w:rPr>
          <w:color w:val="000000" w:themeColor="text1"/>
          <w:sz w:val="84"/>
          <w:szCs w:val="84"/>
        </w:rPr>
      </w:pPr>
    </w:p>
    <w:p>
      <w:pPr>
        <w:jc w:val="center"/>
        <w:rPr>
          <w:rFonts w:ascii="黑体" w:hAnsi="黑体" w:eastAsia="黑体"/>
          <w:color w:val="000000" w:themeColor="text1"/>
          <w:sz w:val="52"/>
          <w:szCs w:val="52"/>
        </w:rPr>
      </w:pPr>
      <w:r>
        <w:rPr>
          <w:rFonts w:hint="eastAsia" w:ascii="黑体" w:hAnsi="黑体" w:eastAsia="黑体"/>
          <w:color w:val="000000" w:themeColor="text1"/>
          <w:sz w:val="52"/>
          <w:szCs w:val="52"/>
        </w:rPr>
        <w:t>目录</w:t>
      </w:r>
    </w:p>
    <w:p>
      <w:pPr>
        <w:pStyle w:val="7"/>
        <w:numPr>
          <w:ilvl w:val="0"/>
          <w:numId w:val="1"/>
        </w:numPr>
        <w:ind w:firstLineChars="0"/>
        <w:rPr>
          <w:rFonts w:ascii="黑体" w:hAnsi="黑体" w:eastAsia="黑体"/>
          <w:color w:val="000000" w:themeColor="text1"/>
          <w:sz w:val="32"/>
          <w:szCs w:val="32"/>
        </w:rPr>
      </w:pPr>
      <w:r>
        <w:rPr>
          <w:rFonts w:hint="eastAsia" w:ascii="黑体" w:hAnsi="黑体" w:eastAsia="黑体"/>
          <w:color w:val="000000" w:themeColor="text1"/>
          <w:sz w:val="32"/>
          <w:szCs w:val="32"/>
        </w:rPr>
        <w:t xml:space="preserve"> 海口市美兰区演丰建设服务中心概况</w:t>
      </w:r>
    </w:p>
    <w:p>
      <w:pPr>
        <w:pStyle w:val="7"/>
        <w:numPr>
          <w:ilvl w:val="0"/>
          <w:numId w:val="2"/>
        </w:numPr>
        <w:spacing w:line="360" w:lineRule="auto"/>
        <w:ind w:left="720" w:firstLineChars="0"/>
        <w:jc w:val="left"/>
        <w:rPr>
          <w:rFonts w:ascii="黑体" w:hAnsi="黑体" w:eastAsia="黑体"/>
          <w:color w:val="000000" w:themeColor="text1"/>
          <w:sz w:val="32"/>
          <w:szCs w:val="32"/>
        </w:rPr>
      </w:pPr>
      <w:r>
        <w:rPr>
          <w:rFonts w:hint="eastAsia" w:ascii="黑体" w:hAnsi="黑体" w:eastAsia="黑体"/>
          <w:color w:val="000000" w:themeColor="text1"/>
          <w:sz w:val="32"/>
          <w:szCs w:val="32"/>
        </w:rPr>
        <w:t>主要职能</w:t>
      </w:r>
    </w:p>
    <w:p>
      <w:pPr>
        <w:pStyle w:val="7"/>
        <w:numPr>
          <w:ilvl w:val="0"/>
          <w:numId w:val="2"/>
        </w:numPr>
        <w:spacing w:line="360" w:lineRule="auto"/>
        <w:ind w:left="720" w:firstLineChars="0"/>
        <w:jc w:val="left"/>
        <w:rPr>
          <w:rFonts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部门预算单位构成（单位公开没有这部分内容）</w:t>
      </w:r>
    </w:p>
    <w:p>
      <w:pPr>
        <w:pStyle w:val="7"/>
        <w:numPr>
          <w:ilvl w:val="0"/>
          <w:numId w:val="1"/>
        </w:numPr>
        <w:ind w:firstLineChars="0"/>
        <w:rPr>
          <w:rFonts w:ascii="黑体" w:hAnsi="黑体" w:eastAsia="黑体"/>
          <w:color w:val="000000" w:themeColor="text1"/>
          <w:sz w:val="32"/>
          <w:szCs w:val="32"/>
        </w:rPr>
      </w:pPr>
      <w:r>
        <w:rPr>
          <w:rFonts w:hint="eastAsia" w:ascii="黑体" w:hAnsi="黑体" w:eastAsia="黑体"/>
          <w:color w:val="000000" w:themeColor="text1"/>
          <w:sz w:val="32"/>
          <w:szCs w:val="32"/>
        </w:rPr>
        <w:t xml:space="preserve">  海口市美兰区演丰建设服务中心2024年预算表</w:t>
      </w:r>
    </w:p>
    <w:p>
      <w:pPr>
        <w:pStyle w:val="7"/>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财政拨款收支总表</w:t>
      </w:r>
    </w:p>
    <w:p>
      <w:pPr>
        <w:pStyle w:val="7"/>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一般公共预算支出表</w:t>
      </w:r>
    </w:p>
    <w:p>
      <w:pPr>
        <w:pStyle w:val="7"/>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一般公共预算基本支出表</w:t>
      </w:r>
    </w:p>
    <w:p>
      <w:pPr>
        <w:pStyle w:val="7"/>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一般公共预算“三公”经费支出表</w:t>
      </w:r>
    </w:p>
    <w:p>
      <w:pPr>
        <w:pStyle w:val="7"/>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政府性基金预算支出表。</w:t>
      </w:r>
    </w:p>
    <w:p>
      <w:pPr>
        <w:pStyle w:val="7"/>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政府性基金预算“三公”经费支出表</w:t>
      </w:r>
    </w:p>
    <w:p>
      <w:pPr>
        <w:pStyle w:val="7"/>
        <w:numPr>
          <w:ilvl w:val="0"/>
          <w:numId w:val="3"/>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部门（单位）收支总表</w:t>
      </w:r>
    </w:p>
    <w:p>
      <w:pPr>
        <w:pStyle w:val="7"/>
        <w:numPr>
          <w:ilvl w:val="0"/>
          <w:numId w:val="3"/>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部门（单位）收入总表</w:t>
      </w:r>
    </w:p>
    <w:p>
      <w:pPr>
        <w:pStyle w:val="7"/>
        <w:numPr>
          <w:ilvl w:val="0"/>
          <w:numId w:val="3"/>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部门（单位）支出总表</w:t>
      </w:r>
    </w:p>
    <w:p>
      <w:pPr>
        <w:pStyle w:val="7"/>
        <w:numPr>
          <w:ilvl w:val="0"/>
          <w:numId w:val="3"/>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项目支出绩效信息表</w:t>
      </w:r>
    </w:p>
    <w:p>
      <w:pPr>
        <w:pStyle w:val="7"/>
        <w:numPr>
          <w:ilvl w:val="0"/>
          <w:numId w:val="1"/>
        </w:numPr>
        <w:ind w:firstLineChars="0"/>
        <w:jc w:val="left"/>
        <w:rPr>
          <w:rFonts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 xml:space="preserve">  海口市美兰区演丰建设服务中心2024年预算情况说明</w:t>
      </w:r>
    </w:p>
    <w:p>
      <w:pPr>
        <w:pStyle w:val="7"/>
        <w:numPr>
          <w:ilvl w:val="0"/>
          <w:numId w:val="1"/>
        </w:numPr>
        <w:ind w:firstLineChars="0"/>
        <w:jc w:val="left"/>
        <w:rPr>
          <w:rFonts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 xml:space="preserve">   名词解释</w:t>
      </w:r>
    </w:p>
    <w:p>
      <w:pPr>
        <w:pStyle w:val="7"/>
        <w:ind w:left="1320" w:firstLine="0" w:firstLineChars="0"/>
        <w:jc w:val="left"/>
        <w:rPr>
          <w:rFonts w:ascii="黑体" w:hAnsi="黑体" w:eastAsia="黑体"/>
          <w:color w:val="000000" w:themeColor="text1"/>
          <w:sz w:val="32"/>
          <w:szCs w:val="32"/>
        </w:rPr>
      </w:pPr>
    </w:p>
    <w:p>
      <w:pPr>
        <w:jc w:val="left"/>
        <w:rPr>
          <w:rFonts w:ascii="黑体" w:hAnsi="黑体" w:eastAsia="黑体"/>
          <w:color w:val="000000" w:themeColor="text1"/>
          <w:sz w:val="32"/>
          <w:szCs w:val="32"/>
        </w:rPr>
      </w:pPr>
    </w:p>
    <w:p>
      <w:pPr>
        <w:jc w:val="left"/>
        <w:rPr>
          <w:rFonts w:ascii="黑体" w:hAnsi="黑体" w:eastAsia="黑体"/>
          <w:color w:val="000000" w:themeColor="text1"/>
          <w:sz w:val="32"/>
          <w:szCs w:val="32"/>
        </w:rPr>
      </w:pPr>
    </w:p>
    <w:p>
      <w:pPr>
        <w:jc w:val="left"/>
        <w:rPr>
          <w:rFonts w:ascii="黑体" w:hAnsi="黑体" w:eastAsia="黑体"/>
          <w:color w:val="000000" w:themeColor="text1"/>
          <w:sz w:val="32"/>
          <w:szCs w:val="32"/>
        </w:rPr>
      </w:pPr>
    </w:p>
    <w:p>
      <w:pPr>
        <w:pStyle w:val="7"/>
        <w:numPr>
          <w:ilvl w:val="0"/>
          <w:numId w:val="4"/>
        </w:numPr>
        <w:ind w:firstLineChars="0"/>
        <w:jc w:val="center"/>
        <w:rPr>
          <w:rFonts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 xml:space="preserve">  海口市美兰区演丰建设服务中心概况</w:t>
      </w:r>
    </w:p>
    <w:p>
      <w:pPr>
        <w:jc w:val="left"/>
        <w:rPr>
          <w:rFonts w:ascii="仿宋_GB2312" w:hAnsi="仿宋_GB2312" w:eastAsia="仿宋_GB2312" w:cs="仿宋_GB2312"/>
          <w:color w:val="000000" w:themeColor="text1"/>
          <w:sz w:val="32"/>
          <w:szCs w:val="32"/>
        </w:rPr>
      </w:pPr>
    </w:p>
    <w:p>
      <w:pPr>
        <w:pStyle w:val="7"/>
        <w:numPr>
          <w:ilvl w:val="0"/>
          <w:numId w:val="5"/>
        </w:numPr>
        <w:ind w:firstLineChars="0"/>
        <w:jc w:val="left"/>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主要职能</w:t>
      </w:r>
    </w:p>
    <w:p>
      <w:pPr>
        <w:pStyle w:val="7"/>
        <w:numPr>
          <w:ilvl w:val="0"/>
          <w:numId w:val="6"/>
        </w:numPr>
        <w:ind w:left="1724" w:hanging="1083" w:firstLineChars="0"/>
        <w:jc w:val="left"/>
        <w:rPr>
          <w:rFonts w:ascii="仿宋_GB2312" w:hAnsi="黑体"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组织辖区村镇规划编制与实施。</w:t>
      </w:r>
    </w:p>
    <w:p>
      <w:pPr>
        <w:pStyle w:val="7"/>
        <w:numPr>
          <w:ilvl w:val="0"/>
          <w:numId w:val="6"/>
        </w:numPr>
        <w:ind w:left="1724" w:hanging="1083" w:firstLineChars="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审核建设项目《选址意见书》、《建设用地规划许可证》和《建设工程规划许可证》以及《乡村建设规划许可证》的申报材料，实施建设项目批后规划管理和村镇规划建设年报统计。</w:t>
      </w:r>
    </w:p>
    <w:p>
      <w:pPr>
        <w:pStyle w:val="7"/>
        <w:numPr>
          <w:ilvl w:val="0"/>
          <w:numId w:val="6"/>
        </w:numPr>
        <w:ind w:left="1724" w:hanging="1083" w:firstLineChars="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上级及住建部门交办的乡村振兴改厕、危房改造等任务。</w:t>
      </w:r>
    </w:p>
    <w:p>
      <w:pPr>
        <w:pStyle w:val="7"/>
        <w:numPr>
          <w:ilvl w:val="0"/>
          <w:numId w:val="5"/>
        </w:numPr>
        <w:ind w:firstLineChars="0"/>
        <w:jc w:val="left"/>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部门预算单位构成（单位公开没有此部分内容）</w:t>
      </w:r>
    </w:p>
    <w:p>
      <w:pPr>
        <w:widowControl/>
        <w:jc w:val="left"/>
        <w:rPr>
          <w:rFonts w:ascii="仿宋_GB2312" w:hAnsi="黑体" w:eastAsia="仿宋_GB2312" w:cs="仿宋_GB2312"/>
          <w:color w:val="000000" w:themeColor="text1"/>
          <w:sz w:val="32"/>
          <w:szCs w:val="32"/>
        </w:rPr>
      </w:pPr>
      <w:r>
        <w:rPr>
          <w:rFonts w:ascii="仿宋_GB2312" w:hAnsi="黑体" w:eastAsia="仿宋_GB2312" w:cs="仿宋_GB2312"/>
          <w:color w:val="000000" w:themeColor="text1"/>
          <w:sz w:val="32"/>
          <w:szCs w:val="32"/>
        </w:rPr>
        <w:br w:type="page"/>
      </w:r>
    </w:p>
    <w:p>
      <w:pPr>
        <w:jc w:val="left"/>
        <w:rPr>
          <w:color w:val="000000" w:themeColor="text1"/>
        </w:rPr>
      </w:pP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 xml:space="preserve">第二部分 </w:t>
      </w:r>
      <w:r>
        <w:rPr>
          <w:rFonts w:hint="eastAsia" w:ascii="仿宋_GB2312" w:hAnsi="黑体" w:eastAsia="仿宋_GB2312" w:cs="仿宋_GB2312"/>
          <w:color w:val="000000" w:themeColor="text1"/>
          <w:sz w:val="32"/>
          <w:szCs w:val="32"/>
        </w:rPr>
        <w:t xml:space="preserve"> </w:t>
      </w:r>
      <w:r>
        <w:rPr>
          <w:rFonts w:hint="eastAsia" w:ascii="黑体" w:hAnsi="黑体" w:eastAsia="黑体"/>
          <w:color w:val="000000" w:themeColor="text1"/>
          <w:sz w:val="32"/>
          <w:szCs w:val="32"/>
        </w:rPr>
        <w:t>海口市美兰区演丰建设服务中心2024年预算表</w:t>
      </w:r>
    </w:p>
    <w:p>
      <w:pPr>
        <w:ind w:firstLine="640" w:firstLineChars="200"/>
        <w:rPr>
          <w:rFonts w:ascii="黑体" w:hAnsi="黑体" w:eastAsia="黑体"/>
          <w:color w:val="000000" w:themeColor="text1"/>
          <w:sz w:val="32"/>
          <w:szCs w:val="32"/>
        </w:rPr>
      </w:pPr>
    </w:p>
    <w:p>
      <w:pPr>
        <w:pStyle w:val="7"/>
        <w:numPr>
          <w:ilvl w:val="0"/>
          <w:numId w:val="7"/>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财政拨款收支总表</w:t>
      </w:r>
    </w:p>
    <w:p>
      <w:pPr>
        <w:pStyle w:val="7"/>
        <w:numPr>
          <w:ilvl w:val="0"/>
          <w:numId w:val="7"/>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一般公共预算支出表</w:t>
      </w:r>
    </w:p>
    <w:p>
      <w:pPr>
        <w:pStyle w:val="7"/>
        <w:numPr>
          <w:ilvl w:val="0"/>
          <w:numId w:val="7"/>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一般公共预算基本支出表</w:t>
      </w:r>
    </w:p>
    <w:p>
      <w:pPr>
        <w:pStyle w:val="7"/>
        <w:numPr>
          <w:ilvl w:val="0"/>
          <w:numId w:val="7"/>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一般公共预算“三公”经费支出表</w:t>
      </w:r>
    </w:p>
    <w:p>
      <w:pPr>
        <w:pStyle w:val="7"/>
        <w:numPr>
          <w:ilvl w:val="0"/>
          <w:numId w:val="7"/>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政府性基金预算支出表。</w:t>
      </w:r>
    </w:p>
    <w:p>
      <w:pPr>
        <w:pStyle w:val="7"/>
        <w:numPr>
          <w:ilvl w:val="0"/>
          <w:numId w:val="7"/>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政府性基金预算“三公”经费支出表</w:t>
      </w:r>
    </w:p>
    <w:p>
      <w:pPr>
        <w:pStyle w:val="7"/>
        <w:numPr>
          <w:ilvl w:val="0"/>
          <w:numId w:val="7"/>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部门（单位）收支总表</w:t>
      </w:r>
    </w:p>
    <w:p>
      <w:pPr>
        <w:pStyle w:val="7"/>
        <w:numPr>
          <w:ilvl w:val="0"/>
          <w:numId w:val="7"/>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部门（单位）收入总表</w:t>
      </w:r>
    </w:p>
    <w:p>
      <w:pPr>
        <w:pStyle w:val="7"/>
        <w:numPr>
          <w:ilvl w:val="0"/>
          <w:numId w:val="7"/>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部门（单位）支出总表</w:t>
      </w:r>
    </w:p>
    <w:p>
      <w:pPr>
        <w:pStyle w:val="7"/>
        <w:numPr>
          <w:ilvl w:val="0"/>
          <w:numId w:val="7"/>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项目支出绩效信息表</w:t>
      </w:r>
    </w:p>
    <w:p>
      <w:pPr>
        <w:ind w:left="800"/>
        <w:jc w:val="left"/>
        <w:rPr>
          <w:rFonts w:ascii="黑体" w:hAnsi="黑体" w:eastAsia="黑体"/>
          <w:color w:val="000000" w:themeColor="text1"/>
          <w:sz w:val="32"/>
          <w:szCs w:val="32"/>
        </w:rPr>
      </w:pPr>
    </w:p>
    <w:p>
      <w:pPr>
        <w:ind w:left="800"/>
        <w:jc w:val="center"/>
        <w:rPr>
          <w:rFonts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（单位预算公开表详见附件）</w:t>
      </w:r>
    </w:p>
    <w:p>
      <w:pPr>
        <w:widowControl/>
        <w:jc w:val="left"/>
        <w:rPr>
          <w:rFonts w:ascii="黑体" w:hAnsi="黑体" w:eastAsia="黑体"/>
          <w:color w:val="000000" w:themeColor="text1"/>
          <w:sz w:val="32"/>
          <w:szCs w:val="32"/>
        </w:rPr>
      </w:pPr>
      <w:r>
        <w:rPr>
          <w:rFonts w:ascii="黑体" w:hAnsi="黑体" w:eastAsia="黑体"/>
          <w:color w:val="000000" w:themeColor="text1"/>
          <w:sz w:val="32"/>
          <w:szCs w:val="32"/>
        </w:rPr>
        <w:br w:type="page"/>
      </w:r>
    </w:p>
    <w:p>
      <w:pPr>
        <w:rPr>
          <w:rFonts w:ascii="黑体" w:hAnsi="黑体" w:eastAsia="黑体"/>
          <w:color w:val="000000" w:themeColor="text1"/>
          <w:sz w:val="32"/>
          <w:szCs w:val="32"/>
        </w:rPr>
      </w:pPr>
    </w:p>
    <w:p>
      <w:pPr>
        <w:ind w:firstLine="480" w:firstLineChars="150"/>
        <w:rPr>
          <w:rFonts w:ascii="黑体" w:hAnsi="黑体" w:eastAsia="黑体"/>
          <w:color w:val="000000" w:themeColor="text1"/>
          <w:sz w:val="32"/>
          <w:szCs w:val="32"/>
        </w:rPr>
      </w:pPr>
      <w:r>
        <w:rPr>
          <w:rFonts w:hint="eastAsia" w:ascii="黑体" w:hAnsi="黑体" w:eastAsia="黑体"/>
          <w:color w:val="000000" w:themeColor="text1"/>
          <w:sz w:val="32"/>
          <w:szCs w:val="32"/>
        </w:rPr>
        <w:t>第三部分  海口市美兰区演丰建设服务中心2024年预算情况说明</w:t>
      </w:r>
    </w:p>
    <w:p>
      <w:pPr>
        <w:jc w:val="center"/>
        <w:rPr>
          <w:rFonts w:ascii="黑体" w:hAnsi="黑体" w:eastAsia="黑体"/>
          <w:color w:val="000000" w:themeColor="text1"/>
          <w:sz w:val="32"/>
          <w:szCs w:val="32"/>
        </w:rPr>
      </w:pPr>
    </w:p>
    <w:p>
      <w:pPr>
        <w:ind w:firstLine="640" w:firstLineChars="200"/>
        <w:jc w:val="left"/>
        <w:rPr>
          <w:rFonts w:ascii="黑体" w:hAnsi="黑体" w:eastAsia="黑体"/>
          <w:color w:val="000000" w:themeColor="text1"/>
          <w:sz w:val="32"/>
          <w:szCs w:val="32"/>
        </w:rPr>
      </w:pPr>
      <w:r>
        <w:rPr>
          <w:rFonts w:hint="eastAsia" w:ascii="黑体" w:hAnsi="黑体" w:eastAsia="黑体"/>
          <w:color w:val="000000" w:themeColor="text1"/>
          <w:sz w:val="32"/>
          <w:szCs w:val="32"/>
        </w:rPr>
        <w:t>一、关于海口市美兰区演丰建设服务中心2024年财政拨款收支预算情况的总体说明</w:t>
      </w:r>
    </w:p>
    <w:p>
      <w:pPr>
        <w:ind w:firstLine="640" w:firstLineChars="2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海口市美兰区演丰建设服务中心</w:t>
      </w:r>
      <w:r>
        <w:rPr>
          <w:rFonts w:hint="eastAsia"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年财政拨款收支总预算</w:t>
      </w:r>
      <w:r>
        <w:rPr>
          <w:rFonts w:hint="eastAsia" w:ascii="仿宋_GB2312" w:hAnsi="黑体" w:eastAsia="仿宋_GB2312" w:cs="仿宋_GB2312"/>
          <w:color w:val="000000" w:themeColor="text1"/>
          <w:sz w:val="32"/>
          <w:szCs w:val="32"/>
        </w:rPr>
        <w:t>100.35</w:t>
      </w:r>
      <w:r>
        <w:rPr>
          <w:rFonts w:hint="eastAsia" w:ascii="仿宋_GB2312" w:hAnsi="黑体" w:eastAsia="仿宋_GB2312"/>
          <w:color w:val="000000" w:themeColor="text1"/>
          <w:sz w:val="32"/>
          <w:szCs w:val="32"/>
        </w:rPr>
        <w:t>万元。其中，收入总计</w:t>
      </w:r>
      <w:r>
        <w:rPr>
          <w:rFonts w:hint="eastAsia" w:ascii="仿宋_GB2312" w:hAnsi="黑体" w:eastAsia="仿宋_GB2312" w:cs="仿宋_GB2312"/>
          <w:color w:val="000000" w:themeColor="text1"/>
          <w:sz w:val="32"/>
          <w:szCs w:val="32"/>
        </w:rPr>
        <w:t>100.35</w:t>
      </w:r>
      <w:r>
        <w:rPr>
          <w:rFonts w:hint="eastAsia" w:ascii="仿宋_GB2312" w:hAnsi="黑体" w:eastAsia="仿宋_GB2312"/>
          <w:color w:val="000000" w:themeColor="text1"/>
          <w:sz w:val="32"/>
          <w:szCs w:val="32"/>
        </w:rPr>
        <w:t>万元，包括一般公共预算本年收入</w:t>
      </w:r>
      <w:r>
        <w:rPr>
          <w:rFonts w:hint="eastAsia" w:ascii="仿宋_GB2312" w:hAnsi="黑体" w:eastAsia="仿宋_GB2312" w:cs="仿宋_GB2312"/>
          <w:color w:val="000000" w:themeColor="text1"/>
          <w:sz w:val="32"/>
          <w:szCs w:val="32"/>
        </w:rPr>
        <w:t>100.35</w:t>
      </w:r>
      <w:r>
        <w:rPr>
          <w:rFonts w:hint="eastAsia" w:ascii="仿宋_GB2312" w:hAnsi="黑体" w:eastAsia="仿宋_GB2312"/>
          <w:color w:val="000000" w:themeColor="text1"/>
          <w:sz w:val="32"/>
          <w:szCs w:val="32"/>
        </w:rPr>
        <w:t>万元、上年结转</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万元，政府性基金预算本年收入</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万元、上年结转</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万元；支出总计</w:t>
      </w:r>
      <w:r>
        <w:rPr>
          <w:rFonts w:hint="eastAsia" w:ascii="仿宋_GB2312" w:hAnsi="黑体" w:eastAsia="仿宋_GB2312" w:cs="仿宋_GB2312"/>
          <w:color w:val="000000" w:themeColor="text1"/>
          <w:sz w:val="32"/>
          <w:szCs w:val="32"/>
        </w:rPr>
        <w:t>100.35</w:t>
      </w:r>
      <w:r>
        <w:rPr>
          <w:rFonts w:hint="eastAsia" w:ascii="仿宋_GB2312" w:hAnsi="黑体" w:eastAsia="仿宋_GB2312"/>
          <w:color w:val="000000" w:themeColor="text1"/>
          <w:sz w:val="32"/>
          <w:szCs w:val="32"/>
        </w:rPr>
        <w:t>万元，包括一般公共服务支出</w:t>
      </w:r>
      <w:r>
        <w:rPr>
          <w:rFonts w:hint="eastAsia" w:ascii="仿宋_GB2312" w:hAnsi="黑体" w:eastAsia="仿宋_GB2312" w:cs="仿宋_GB2312"/>
          <w:color w:val="000000" w:themeColor="text1"/>
          <w:sz w:val="32"/>
          <w:szCs w:val="32"/>
        </w:rPr>
        <w:t>100.35</w:t>
      </w:r>
      <w:r>
        <w:rPr>
          <w:rFonts w:hint="eastAsia" w:ascii="仿宋_GB2312" w:hAnsi="黑体" w:eastAsia="仿宋_GB2312"/>
          <w:color w:val="000000" w:themeColor="text1"/>
          <w:sz w:val="32"/>
          <w:szCs w:val="32"/>
        </w:rPr>
        <w:t>万元、外交支出</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万元、国防支出</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万元，结转下年</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p>
    <w:p>
      <w:pPr>
        <w:ind w:firstLine="640"/>
        <w:jc w:val="left"/>
        <w:rPr>
          <w:rFonts w:ascii="黑体" w:hAnsi="黑体" w:eastAsia="黑体"/>
          <w:color w:val="000000" w:themeColor="text1"/>
          <w:sz w:val="32"/>
          <w:szCs w:val="32"/>
        </w:rPr>
      </w:pPr>
      <w:r>
        <w:rPr>
          <w:rFonts w:hint="eastAsia" w:ascii="黑体" w:hAnsi="黑体" w:eastAsia="黑体"/>
          <w:color w:val="000000" w:themeColor="text1"/>
          <w:sz w:val="32"/>
          <w:szCs w:val="32"/>
        </w:rPr>
        <w:t>二、关于海口市美兰区演丰建设服务中心</w:t>
      </w:r>
      <w:r>
        <w:rPr>
          <w:rFonts w:hint="eastAsia" w:ascii="仿宋_GB2312" w:hAnsi="黑体" w:eastAsia="仿宋_GB2312" w:cs="仿宋_GB2312"/>
          <w:color w:val="000000" w:themeColor="text1"/>
          <w:sz w:val="32"/>
          <w:szCs w:val="32"/>
        </w:rPr>
        <w:t>2024</w:t>
      </w:r>
      <w:r>
        <w:rPr>
          <w:rFonts w:hint="eastAsia" w:ascii="黑体" w:hAnsi="黑体" w:eastAsia="黑体"/>
          <w:color w:val="000000" w:themeColor="text1"/>
          <w:sz w:val="32"/>
          <w:szCs w:val="32"/>
        </w:rPr>
        <w:t>年一般公共预算当年拨款情况说明</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（一）一般公共预算当年规模变化情况</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海口市美兰演丰建设服务中心</w:t>
      </w:r>
      <w:r>
        <w:rPr>
          <w:rFonts w:hint="eastAsia"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年一般公共预算当年拨款</w:t>
      </w:r>
      <w:r>
        <w:rPr>
          <w:rFonts w:hint="eastAsia" w:ascii="仿宋_GB2312" w:hAnsi="黑体" w:eastAsia="仿宋_GB2312" w:cs="仿宋_GB2312"/>
          <w:color w:val="000000" w:themeColor="text1"/>
          <w:sz w:val="32"/>
          <w:szCs w:val="32"/>
        </w:rPr>
        <w:t>100.35</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rPr>
        <w:t>减少3.43</w:t>
      </w:r>
      <w:r>
        <w:rPr>
          <w:rFonts w:hint="eastAsia" w:ascii="仿宋_GB2312" w:hAnsi="黑体" w:eastAsia="仿宋_GB2312"/>
          <w:color w:val="000000" w:themeColor="text1"/>
          <w:sz w:val="32"/>
          <w:szCs w:val="32"/>
        </w:rPr>
        <w:t>万元，主要是项目经费开支缩减。</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（二）一般公共预算当年拨款结构情况</w:t>
      </w:r>
    </w:p>
    <w:p>
      <w:pPr>
        <w:ind w:firstLine="800" w:firstLineChars="25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一般公共服务（类）支出100.35</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100</w:t>
      </w:r>
      <w:r>
        <w:rPr>
          <w:rFonts w:hint="eastAsia" w:ascii="仿宋_GB2312" w:hAnsi="黑体" w:eastAsia="仿宋_GB2312"/>
          <w:color w:val="000000" w:themeColor="text1"/>
          <w:sz w:val="32"/>
          <w:szCs w:val="32"/>
        </w:rPr>
        <w:t>%；社会保障和就业支出（类）10.09万元，占10%；卫生健康支出（类）7.75万元，占8%；城乡社区支出（类）76.66万元，占76%；住房保障支出（类）5.85万元，占6%。</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（三）一般公共预算当年拨款具体使用情况</w:t>
      </w:r>
    </w:p>
    <w:p>
      <w:pPr>
        <w:spacing w:line="360" w:lineRule="auto"/>
        <w:ind w:firstLine="640"/>
        <w:rPr>
          <w:rFonts w:ascii="仿宋_GB2312" w:hAnsi="仿宋_GB2312" w:eastAsia="仿宋_GB2312"/>
          <w:color w:val="000000" w:themeColor="text1"/>
          <w:sz w:val="32"/>
          <w:szCs w:val="32"/>
        </w:rPr>
      </w:pPr>
      <w:r>
        <w:rPr>
          <w:rFonts w:hint="eastAsia" w:ascii="仿宋_GB2312" w:hAnsi="仿宋_GB2312" w:eastAsia="仿宋_GB2312" w:cs="仿宋_GB2312"/>
          <w:color w:val="000000" w:themeColor="text1"/>
          <w:sz w:val="32"/>
          <w:szCs w:val="32"/>
        </w:rPr>
        <w:t>1.社会保障和就业支出（类）行政事业单位养老支出（款）机关事业单位基本养老保险缴费支出（项）2024</w:t>
      </w:r>
      <w:r>
        <w:rPr>
          <w:rFonts w:hint="eastAsia" w:ascii="仿宋_GB2312" w:hAnsi="仿宋_GB2312" w:eastAsia="仿宋_GB2312"/>
          <w:color w:val="000000" w:themeColor="text1"/>
          <w:sz w:val="32"/>
          <w:szCs w:val="32"/>
        </w:rPr>
        <w:t>年预算数为6.73万元，比上年预算数</w:t>
      </w:r>
      <w:r>
        <w:rPr>
          <w:rFonts w:hint="eastAsia" w:ascii="仿宋_GB2312" w:hAnsi="仿宋_GB2312" w:eastAsia="仿宋_GB2312" w:cs="仿宋_GB2312"/>
          <w:color w:val="000000" w:themeColor="text1"/>
          <w:sz w:val="32"/>
          <w:szCs w:val="32"/>
        </w:rPr>
        <w:t>减少0.34</w:t>
      </w:r>
      <w:r>
        <w:rPr>
          <w:rFonts w:hint="eastAsia" w:ascii="仿宋_GB2312" w:hAnsi="仿宋_GB2312" w:eastAsia="仿宋_GB2312"/>
          <w:color w:val="000000" w:themeColor="text1"/>
          <w:sz w:val="32"/>
          <w:szCs w:val="32"/>
        </w:rPr>
        <w:t>万元，主要人员调出。</w:t>
      </w:r>
    </w:p>
    <w:p>
      <w:pPr>
        <w:spacing w:line="360" w:lineRule="auto"/>
        <w:ind w:firstLine="640"/>
        <w:rPr>
          <w:rFonts w:ascii="仿宋_GB2312" w:hAnsi="仿宋_GB2312" w:eastAsia="仿宋_GB2312"/>
          <w:color w:val="000000" w:themeColor="text1"/>
          <w:sz w:val="32"/>
          <w:szCs w:val="32"/>
        </w:rPr>
      </w:pPr>
      <w:r>
        <w:rPr>
          <w:rFonts w:hint="eastAsia" w:ascii="仿宋_GB2312" w:hAnsi="仿宋_GB2312" w:eastAsia="仿宋_GB2312" w:cs="仿宋_GB2312"/>
          <w:color w:val="000000" w:themeColor="text1"/>
          <w:sz w:val="32"/>
          <w:szCs w:val="32"/>
        </w:rPr>
        <w:t>2.社会保障和就业支出（类）行政事业单位养老支出（款）机关事业单位职业年金缴费支出（项）2024</w:t>
      </w:r>
      <w:r>
        <w:rPr>
          <w:rFonts w:hint="eastAsia" w:ascii="仿宋_GB2312" w:hAnsi="仿宋_GB2312" w:eastAsia="仿宋_GB2312"/>
          <w:color w:val="000000" w:themeColor="text1"/>
          <w:sz w:val="32"/>
          <w:szCs w:val="32"/>
        </w:rPr>
        <w:t>年预算数为3.36万元，比上年预算数</w:t>
      </w:r>
      <w:r>
        <w:rPr>
          <w:rFonts w:hint="eastAsia" w:ascii="仿宋_GB2312" w:hAnsi="仿宋_GB2312" w:eastAsia="仿宋_GB2312" w:cs="仿宋_GB2312"/>
          <w:color w:val="000000" w:themeColor="text1"/>
          <w:sz w:val="32"/>
          <w:szCs w:val="32"/>
        </w:rPr>
        <w:t>减少0.18</w:t>
      </w:r>
      <w:r>
        <w:rPr>
          <w:rFonts w:hint="eastAsia" w:ascii="仿宋_GB2312" w:hAnsi="仿宋_GB2312" w:eastAsia="仿宋_GB2312"/>
          <w:color w:val="000000" w:themeColor="text1"/>
          <w:sz w:val="32"/>
          <w:szCs w:val="32"/>
        </w:rPr>
        <w:t>万元，主要人员调出。</w:t>
      </w:r>
    </w:p>
    <w:p>
      <w:pPr>
        <w:spacing w:line="360" w:lineRule="auto"/>
        <w:ind w:firstLine="640"/>
        <w:rPr>
          <w:rFonts w:ascii="仿宋_GB2312" w:hAnsi="仿宋_GB2312" w:eastAsia="仿宋_GB2312"/>
          <w:color w:val="000000" w:themeColor="text1"/>
          <w:sz w:val="32"/>
          <w:szCs w:val="32"/>
        </w:rPr>
      </w:pPr>
      <w:r>
        <w:rPr>
          <w:rFonts w:hint="eastAsia" w:ascii="仿宋_GB2312" w:hAnsi="仿宋_GB2312" w:eastAsia="仿宋_GB2312" w:cs="仿宋_GB2312"/>
          <w:color w:val="000000" w:themeColor="text1"/>
          <w:sz w:val="32"/>
          <w:szCs w:val="32"/>
        </w:rPr>
        <w:t>3.卫生健康支出（类）行政事业单位医疗（款）事业单位医疗（项）2024</w:t>
      </w:r>
      <w:r>
        <w:rPr>
          <w:rFonts w:hint="eastAsia" w:ascii="仿宋_GB2312" w:hAnsi="仿宋_GB2312" w:eastAsia="仿宋_GB2312"/>
          <w:color w:val="000000" w:themeColor="text1"/>
          <w:sz w:val="32"/>
          <w:szCs w:val="32"/>
        </w:rPr>
        <w:t>年预算数为</w:t>
      </w:r>
      <w:r>
        <w:rPr>
          <w:rFonts w:hint="eastAsia" w:ascii="仿宋_GB2312" w:hAnsi="仿宋_GB2312" w:eastAsia="仿宋_GB2312" w:cs="仿宋_GB2312"/>
          <w:color w:val="000000" w:themeColor="text1"/>
          <w:sz w:val="32"/>
          <w:szCs w:val="32"/>
        </w:rPr>
        <w:t>3.05</w:t>
      </w:r>
      <w:r>
        <w:rPr>
          <w:rFonts w:hint="eastAsia" w:ascii="仿宋_GB2312" w:hAnsi="仿宋_GB2312" w:eastAsia="仿宋_GB2312"/>
          <w:color w:val="000000" w:themeColor="text1"/>
          <w:sz w:val="32"/>
          <w:szCs w:val="32"/>
        </w:rPr>
        <w:t>万元，比上年预算数</w:t>
      </w:r>
      <w:r>
        <w:rPr>
          <w:rFonts w:hint="eastAsia" w:ascii="仿宋_GB2312" w:hAnsi="仿宋_GB2312" w:eastAsia="仿宋_GB2312" w:cs="仿宋_GB2312"/>
          <w:color w:val="000000" w:themeColor="text1"/>
          <w:sz w:val="32"/>
          <w:szCs w:val="32"/>
        </w:rPr>
        <w:t>减少0.19</w:t>
      </w:r>
      <w:r>
        <w:rPr>
          <w:rFonts w:hint="eastAsia" w:ascii="仿宋_GB2312" w:hAnsi="仿宋_GB2312" w:eastAsia="仿宋_GB2312"/>
          <w:color w:val="000000" w:themeColor="text1"/>
          <w:sz w:val="32"/>
          <w:szCs w:val="32"/>
        </w:rPr>
        <w:t>万元，主要是人员调出。</w:t>
      </w:r>
    </w:p>
    <w:p>
      <w:pPr>
        <w:spacing w:line="360" w:lineRule="auto"/>
        <w:ind w:firstLine="640"/>
        <w:rPr>
          <w:rFonts w:ascii="仿宋_GB2312" w:hAnsi="仿宋_GB2312" w:eastAsia="仿宋_GB2312"/>
          <w:color w:val="000000" w:themeColor="text1"/>
          <w:sz w:val="32"/>
          <w:szCs w:val="32"/>
        </w:rPr>
      </w:pPr>
      <w:r>
        <w:rPr>
          <w:rFonts w:hint="eastAsia" w:ascii="仿宋_GB2312" w:hAnsi="仿宋_GB2312" w:eastAsia="仿宋_GB2312" w:cs="仿宋_GB2312"/>
          <w:color w:val="000000" w:themeColor="text1"/>
          <w:sz w:val="32"/>
          <w:szCs w:val="32"/>
        </w:rPr>
        <w:t>4.卫生健康支出（类）行政事业单位医疗（款）公务员医疗补助（项）2024</w:t>
      </w:r>
      <w:r>
        <w:rPr>
          <w:rFonts w:hint="eastAsia" w:ascii="仿宋_GB2312" w:hAnsi="仿宋_GB2312" w:eastAsia="仿宋_GB2312"/>
          <w:color w:val="000000" w:themeColor="text1"/>
          <w:sz w:val="32"/>
          <w:szCs w:val="32"/>
        </w:rPr>
        <w:t>年预算数为4</w:t>
      </w:r>
      <w:r>
        <w:rPr>
          <w:rFonts w:hint="eastAsia" w:ascii="仿宋_GB2312" w:hAnsi="仿宋_GB2312" w:eastAsia="仿宋_GB2312" w:cs="仿宋_GB2312"/>
          <w:color w:val="000000" w:themeColor="text1"/>
          <w:sz w:val="32"/>
          <w:szCs w:val="32"/>
        </w:rPr>
        <w:t>.69</w:t>
      </w:r>
      <w:r>
        <w:rPr>
          <w:rFonts w:hint="eastAsia" w:ascii="仿宋_GB2312" w:hAnsi="仿宋_GB2312" w:eastAsia="仿宋_GB2312"/>
          <w:color w:val="000000" w:themeColor="text1"/>
          <w:sz w:val="32"/>
          <w:szCs w:val="32"/>
        </w:rPr>
        <w:t>万元，比上年预算数</w:t>
      </w:r>
      <w:r>
        <w:rPr>
          <w:rFonts w:hint="eastAsia" w:ascii="仿宋_GB2312" w:hAnsi="仿宋_GB2312" w:eastAsia="仿宋_GB2312" w:cs="仿宋_GB2312"/>
          <w:color w:val="000000" w:themeColor="text1"/>
          <w:sz w:val="32"/>
          <w:szCs w:val="32"/>
        </w:rPr>
        <w:t>减少0.27</w:t>
      </w:r>
      <w:r>
        <w:rPr>
          <w:rFonts w:hint="eastAsia" w:ascii="仿宋_GB2312" w:hAnsi="仿宋_GB2312" w:eastAsia="仿宋_GB2312"/>
          <w:color w:val="000000" w:themeColor="text1"/>
          <w:sz w:val="32"/>
          <w:szCs w:val="32"/>
        </w:rPr>
        <w:t>万元，主要是人员调出。</w:t>
      </w:r>
    </w:p>
    <w:p>
      <w:pPr>
        <w:spacing w:line="360" w:lineRule="auto"/>
        <w:ind w:firstLine="640"/>
        <w:rPr>
          <w:rFonts w:ascii="仿宋_GB2312" w:hAnsi="仿宋_GB2312" w:eastAsia="仿宋_GB2312"/>
          <w:color w:val="000000" w:themeColor="text1"/>
          <w:sz w:val="32"/>
          <w:szCs w:val="32"/>
        </w:rPr>
      </w:pPr>
      <w:r>
        <w:rPr>
          <w:rFonts w:hint="eastAsia" w:ascii="仿宋_GB2312" w:hAnsi="仿宋_GB2312" w:eastAsia="仿宋_GB2312" w:cs="仿宋_GB2312"/>
          <w:color w:val="000000" w:themeColor="text1"/>
          <w:sz w:val="32"/>
          <w:szCs w:val="32"/>
        </w:rPr>
        <w:t>5.城乡社区支出（类）城乡社区管理事务（款）其他城乡社区管理事务支出（项）2024</w:t>
      </w:r>
      <w:r>
        <w:rPr>
          <w:rFonts w:hint="eastAsia" w:ascii="仿宋_GB2312" w:hAnsi="仿宋_GB2312" w:eastAsia="仿宋_GB2312"/>
          <w:color w:val="000000" w:themeColor="text1"/>
          <w:sz w:val="32"/>
          <w:szCs w:val="32"/>
        </w:rPr>
        <w:t>年预算数为68.66万元，比上年预算数增加1.66万元，主要是聘用人员经费增加。</w:t>
      </w:r>
    </w:p>
    <w:p>
      <w:pPr>
        <w:spacing w:line="360" w:lineRule="auto"/>
        <w:ind w:firstLine="640"/>
        <w:rPr>
          <w:rFonts w:ascii="仿宋_GB2312" w:hAnsi="仿宋_GB2312" w:eastAsia="仿宋_GB2312"/>
          <w:color w:val="000000" w:themeColor="text1"/>
          <w:sz w:val="32"/>
          <w:szCs w:val="32"/>
        </w:rPr>
      </w:pPr>
      <w:r>
        <w:rPr>
          <w:rFonts w:hint="eastAsia" w:ascii="仿宋_GB2312" w:hAnsi="仿宋_GB2312" w:eastAsia="仿宋_GB2312" w:cs="仿宋_GB2312"/>
          <w:color w:val="000000" w:themeColor="text1"/>
          <w:sz w:val="32"/>
          <w:szCs w:val="32"/>
        </w:rPr>
        <w:t>6.城乡社区支出（类）城乡社区规划与管理（款）城乡社区规划与管理（项）2024</w:t>
      </w:r>
      <w:r>
        <w:rPr>
          <w:rFonts w:hint="eastAsia" w:ascii="仿宋_GB2312" w:hAnsi="仿宋_GB2312" w:eastAsia="仿宋_GB2312"/>
          <w:color w:val="000000" w:themeColor="text1"/>
          <w:sz w:val="32"/>
          <w:szCs w:val="32"/>
        </w:rPr>
        <w:t>年预算数为8万元，比上年预算数减少3.3万元，主要是项目经费缩减。</w:t>
      </w:r>
    </w:p>
    <w:p>
      <w:pPr>
        <w:spacing w:line="360" w:lineRule="auto"/>
        <w:ind w:firstLine="640"/>
        <w:rPr>
          <w:rFonts w:ascii="仿宋_GB2312" w:hAnsi="仿宋_GB2312" w:eastAsia="仿宋_GB2312"/>
          <w:color w:val="000000" w:themeColor="text1"/>
          <w:sz w:val="32"/>
          <w:szCs w:val="32"/>
        </w:rPr>
      </w:pPr>
    </w:p>
    <w:p>
      <w:pPr>
        <w:ind w:firstLine="640" w:firstLineChars="200"/>
        <w:rPr>
          <w:rFonts w:ascii="仿宋_GB2312" w:hAnsi="黑体" w:eastAsia="仿宋_GB2312"/>
          <w:color w:val="000000" w:themeColor="text1"/>
          <w:sz w:val="32"/>
          <w:szCs w:val="32"/>
        </w:rPr>
      </w:pPr>
      <w:r>
        <w:rPr>
          <w:rFonts w:hint="eastAsia" w:ascii="仿宋_GB2312" w:hAnsi="仿宋_GB2312" w:eastAsia="仿宋_GB2312" w:cs="仿宋_GB2312"/>
          <w:color w:val="000000" w:themeColor="text1"/>
          <w:sz w:val="32"/>
          <w:szCs w:val="32"/>
        </w:rPr>
        <w:t>7.住房保障支出（类）住房改革支出（款）住房公积金（项）2024</w:t>
      </w:r>
      <w:r>
        <w:rPr>
          <w:rFonts w:hint="eastAsia" w:ascii="仿宋_GB2312" w:hAnsi="仿宋_GB2312" w:eastAsia="仿宋_GB2312"/>
          <w:color w:val="000000" w:themeColor="text1"/>
          <w:sz w:val="32"/>
          <w:szCs w:val="32"/>
        </w:rPr>
        <w:t>年预算数为5.85万元，比上年预算数减少0.33万元，主要是人员调出。</w:t>
      </w:r>
    </w:p>
    <w:p>
      <w:pPr>
        <w:ind w:firstLine="640"/>
        <w:rPr>
          <w:rFonts w:ascii="黑体" w:hAnsi="黑体" w:eastAsia="黑体"/>
          <w:color w:val="000000" w:themeColor="text1"/>
          <w:sz w:val="32"/>
          <w:szCs w:val="32"/>
        </w:rPr>
      </w:pPr>
      <w:r>
        <w:rPr>
          <w:rFonts w:hint="eastAsia" w:ascii="黑体" w:hAnsi="黑体" w:eastAsia="黑体"/>
          <w:color w:val="000000" w:themeColor="text1"/>
          <w:sz w:val="32"/>
          <w:szCs w:val="32"/>
        </w:rPr>
        <w:t>三、关于海口市美兰区演丰建设服务中心2024年一般公共预算基本支出情况说明</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海口市美兰区演丰建设服务中心</w:t>
      </w:r>
      <w:r>
        <w:rPr>
          <w:rFonts w:hint="eastAsia"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年一般公共预算基本支出为</w:t>
      </w:r>
      <w:r>
        <w:rPr>
          <w:rFonts w:hint="eastAsia" w:ascii="仿宋_GB2312" w:hAnsi="黑体" w:eastAsia="仿宋_GB2312" w:cs="仿宋_GB2312"/>
          <w:color w:val="000000" w:themeColor="text1"/>
          <w:sz w:val="32"/>
          <w:szCs w:val="32"/>
        </w:rPr>
        <w:t>80.35</w:t>
      </w:r>
      <w:r>
        <w:rPr>
          <w:rFonts w:hint="eastAsia" w:ascii="仿宋_GB2312" w:hAnsi="黑体" w:eastAsia="仿宋_GB2312"/>
          <w:color w:val="000000" w:themeColor="text1"/>
          <w:sz w:val="32"/>
          <w:szCs w:val="32"/>
        </w:rPr>
        <w:t>万元，其中：</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人员经费</w:t>
      </w:r>
      <w:r>
        <w:rPr>
          <w:rFonts w:hint="eastAsia" w:ascii="仿宋_GB2312" w:hAnsi="黑体" w:eastAsia="仿宋_GB2312" w:cs="仿宋_GB2312"/>
          <w:color w:val="000000" w:themeColor="text1"/>
          <w:sz w:val="32"/>
          <w:szCs w:val="32"/>
        </w:rPr>
        <w:t>75.64</w:t>
      </w:r>
      <w:r>
        <w:rPr>
          <w:rFonts w:hint="eastAsia" w:ascii="仿宋_GB2312" w:hAnsi="黑体" w:eastAsia="仿宋_GB2312"/>
          <w:color w:val="000000" w:themeColor="text1"/>
          <w:sz w:val="32"/>
          <w:szCs w:val="32"/>
        </w:rPr>
        <w:t>万元，主要包括：基本工资、津贴补贴、奖金、社会保障缴费、卫生健康支出、城乡社区支出、住房保障支出;</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公用经费</w:t>
      </w:r>
      <w:r>
        <w:rPr>
          <w:rFonts w:hint="eastAsia" w:ascii="仿宋_GB2312" w:hAnsi="黑体" w:eastAsia="仿宋_GB2312" w:cs="仿宋_GB2312"/>
          <w:color w:val="000000" w:themeColor="text1"/>
          <w:sz w:val="32"/>
          <w:szCs w:val="32"/>
        </w:rPr>
        <w:t>4.71</w:t>
      </w:r>
      <w:r>
        <w:rPr>
          <w:rFonts w:hint="eastAsia" w:ascii="仿宋_GB2312" w:hAnsi="黑体" w:eastAsia="仿宋_GB2312"/>
          <w:color w:val="000000" w:themeColor="text1"/>
          <w:sz w:val="32"/>
          <w:szCs w:val="32"/>
        </w:rPr>
        <w:t>万元，主要包括：办公费、咨询费、手续费、水费、电费、残疾人就业保障金、工会费等。</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四、海口市美兰区演丰建设服务中心2024</w:t>
      </w:r>
      <w:r>
        <w:rPr>
          <w:rFonts w:ascii="黑体" w:hAnsi="黑体" w:eastAsia="黑体" w:cs="Times New Roman"/>
          <w:color w:val="000000" w:themeColor="text1"/>
          <w:sz w:val="32"/>
          <w:shd w:val="clear" w:color="auto" w:fill="FFFFFF"/>
        </w:rPr>
        <w:t>年“三公”经费预算情况</w:t>
      </w:r>
      <w:r>
        <w:rPr>
          <w:rFonts w:hint="eastAsia" w:ascii="黑体" w:hAnsi="黑体" w:eastAsia="黑体" w:cs="Times New Roman"/>
          <w:color w:val="000000" w:themeColor="text1"/>
          <w:sz w:val="32"/>
          <w:shd w:val="clear" w:color="auto" w:fill="FFFFFF"/>
        </w:rPr>
        <w:t>说明</w:t>
      </w:r>
    </w:p>
    <w:p>
      <w:pPr>
        <w:ind w:firstLine="640" w:firstLineChars="200"/>
        <w:rPr>
          <w:rFonts w:ascii="仿宋_GB2312" w:hAnsi="黑体" w:eastAsia="仿宋_GB2312" w:cs="Times New Roman"/>
          <w:color w:val="000000" w:themeColor="text1"/>
          <w:sz w:val="32"/>
          <w:szCs w:val="32"/>
        </w:rPr>
      </w:pPr>
      <w:r>
        <w:rPr>
          <w:rFonts w:hint="eastAsia" w:ascii="仿宋_GB2312" w:hAnsi="黑体" w:eastAsia="仿宋_GB2312"/>
          <w:color w:val="000000" w:themeColor="text1"/>
          <w:sz w:val="32"/>
          <w:szCs w:val="32"/>
        </w:rPr>
        <w:t>（一）海口市美兰区演丰建设服务中心</w:t>
      </w:r>
      <w:r>
        <w:rPr>
          <w:rFonts w:hint="eastAsia"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年一般公共预算“三公”经费预算数为</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万元，其中：</w:t>
      </w:r>
    </w:p>
    <w:p>
      <w:pPr>
        <w:ind w:firstLine="630"/>
        <w:rPr>
          <w:rFonts w:ascii="Times New Roman" w:hAnsi="Times New Roman" w:eastAsia="仿宋_GB2312" w:cs="Times New Roman"/>
          <w:color w:val="000000" w:themeColor="text1"/>
          <w:sz w:val="32"/>
          <w:shd w:val="clear" w:color="auto" w:fill="FFFFFF"/>
        </w:rPr>
      </w:pPr>
      <w:r>
        <w:rPr>
          <w:rFonts w:ascii="Times New Roman" w:hAnsi="Times New Roman" w:eastAsia="仿宋_GB2312" w:cs="Times New Roman"/>
          <w:color w:val="000000" w:themeColor="text1"/>
          <w:sz w:val="32"/>
          <w:shd w:val="clear" w:color="auto" w:fill="FFFFFF"/>
        </w:rPr>
        <w:t>因公出国（境）经费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ascii="Times New Roman" w:hAnsi="Times New Roman" w:eastAsia="仿宋_GB2312" w:cs="Times New Roman"/>
          <w:color w:val="000000" w:themeColor="text1"/>
          <w:sz w:val="32"/>
          <w:shd w:val="clear" w:color="auto" w:fill="FFFFFF"/>
        </w:rPr>
        <w:t>，与</w:t>
      </w:r>
      <w:r>
        <w:rPr>
          <w:rFonts w:hint="eastAsia" w:ascii="Times New Roman" w:hAnsi="Times New Roman" w:eastAsia="仿宋_GB2312" w:cs="Times New Roman"/>
          <w:color w:val="000000" w:themeColor="text1"/>
          <w:sz w:val="32"/>
          <w:shd w:val="clear" w:color="auto" w:fill="FFFFFF"/>
        </w:rPr>
        <w:t>上</w:t>
      </w:r>
      <w:r>
        <w:rPr>
          <w:rFonts w:ascii="Times New Roman" w:hAnsi="Times New Roman" w:eastAsia="仿宋_GB2312" w:cs="Times New Roman"/>
          <w:color w:val="000000" w:themeColor="text1"/>
          <w:sz w:val="32"/>
          <w:shd w:val="clear" w:color="auto" w:fill="FFFFFF"/>
        </w:rPr>
        <w:t>年预算持平</w:t>
      </w:r>
      <w:r>
        <w:rPr>
          <w:rFonts w:hint="eastAsia" w:ascii="Times New Roman" w:hAnsi="Times New Roman" w:eastAsia="仿宋_GB2312" w:cs="Times New Roman"/>
          <w:color w:val="000000" w:themeColor="text1"/>
          <w:sz w:val="32"/>
          <w:shd w:val="clear" w:color="auto" w:fill="FFFFFF"/>
        </w:rPr>
        <w:t>；</w:t>
      </w:r>
      <w:r>
        <w:rPr>
          <w:rFonts w:ascii="Times New Roman" w:hAnsi="Times New Roman" w:eastAsia="仿宋_GB2312" w:cs="Times New Roman"/>
          <w:color w:val="000000" w:themeColor="text1"/>
          <w:sz w:val="32"/>
          <w:shd w:val="clear" w:color="auto" w:fill="FFFFFF"/>
        </w:rPr>
        <w:t>公务用车购置及运行费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万元（其中，</w:t>
      </w:r>
      <w:r>
        <w:rPr>
          <w:rFonts w:ascii="Times New Roman" w:hAnsi="Times New Roman" w:eastAsia="仿宋_GB2312" w:cs="Times New Roman"/>
          <w:color w:val="000000" w:themeColor="text1"/>
          <w:sz w:val="32"/>
          <w:shd w:val="clear" w:color="auto" w:fill="FFFFFF"/>
        </w:rPr>
        <w:t>公务用车购置</w:t>
      </w:r>
      <w:r>
        <w:rPr>
          <w:rFonts w:hint="eastAsia" w:ascii="Times New Roman" w:hAnsi="Times New Roman" w:eastAsia="仿宋_GB2312" w:cs="Times New Roman"/>
          <w:color w:val="000000" w:themeColor="text1"/>
          <w:sz w:val="32"/>
          <w:shd w:val="clear" w:color="auto" w:fill="FFFFFF"/>
        </w:rPr>
        <w:t>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hint="eastAsia" w:ascii="Times New Roman" w:hAnsi="Times New Roman" w:eastAsia="仿宋_GB2312" w:cs="Times New Roman"/>
          <w:color w:val="000000" w:themeColor="text1"/>
          <w:sz w:val="32"/>
          <w:shd w:val="clear" w:color="auto" w:fill="FFFFFF"/>
        </w:rPr>
        <w:t>，公务用车</w:t>
      </w:r>
      <w:r>
        <w:rPr>
          <w:rFonts w:ascii="Times New Roman" w:hAnsi="Times New Roman" w:eastAsia="仿宋_GB2312" w:cs="Times New Roman"/>
          <w:color w:val="000000" w:themeColor="text1"/>
          <w:sz w:val="32"/>
          <w:shd w:val="clear" w:color="auto" w:fill="FFFFFF"/>
        </w:rPr>
        <w:t>运行</w:t>
      </w:r>
      <w:r>
        <w:rPr>
          <w:rFonts w:hint="eastAsia" w:ascii="Times New Roman" w:hAnsi="Times New Roman" w:eastAsia="仿宋_GB2312" w:cs="Times New Roman"/>
          <w:color w:val="000000" w:themeColor="text1"/>
          <w:sz w:val="32"/>
          <w:shd w:val="clear" w:color="auto" w:fill="FFFFFF"/>
        </w:rPr>
        <w:t>维护</w:t>
      </w:r>
      <w:r>
        <w:rPr>
          <w:rFonts w:ascii="Times New Roman" w:hAnsi="Times New Roman" w:eastAsia="仿宋_GB2312" w:cs="Times New Roman"/>
          <w:color w:val="000000" w:themeColor="text1"/>
          <w:sz w:val="32"/>
          <w:shd w:val="clear" w:color="auto" w:fill="FFFFFF"/>
        </w:rPr>
        <w:t>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ascii="Times New Roman" w:hAnsi="Times New Roman" w:eastAsia="仿宋_GB2312" w:cs="Times New Roman"/>
          <w:color w:val="000000" w:themeColor="text1"/>
          <w:sz w:val="32"/>
          <w:shd w:val="clear" w:color="auto" w:fill="FFFFFF"/>
        </w:rPr>
        <w:t>，与</w:t>
      </w:r>
      <w:r>
        <w:rPr>
          <w:rFonts w:hint="eastAsia" w:ascii="Times New Roman" w:hAnsi="Times New Roman" w:eastAsia="仿宋_GB2312" w:cs="Times New Roman"/>
          <w:color w:val="000000" w:themeColor="text1"/>
          <w:sz w:val="32"/>
          <w:shd w:val="clear" w:color="auto" w:fill="FFFFFF"/>
        </w:rPr>
        <w:t>上</w:t>
      </w:r>
      <w:r>
        <w:rPr>
          <w:rFonts w:ascii="Times New Roman" w:hAnsi="Times New Roman" w:eastAsia="仿宋_GB2312" w:cs="Times New Roman"/>
          <w:color w:val="000000" w:themeColor="text1"/>
          <w:sz w:val="32"/>
          <w:shd w:val="clear" w:color="auto" w:fill="FFFFFF"/>
        </w:rPr>
        <w:t>年预算持平</w:t>
      </w:r>
      <w:r>
        <w:rPr>
          <w:rFonts w:hint="eastAsia" w:ascii="Times New Roman" w:hAnsi="Times New Roman" w:eastAsia="仿宋_GB2312" w:cs="Times New Roman"/>
          <w:color w:val="000000" w:themeColor="text1"/>
          <w:sz w:val="32"/>
          <w:shd w:val="clear" w:color="auto" w:fill="FFFFFF"/>
        </w:rPr>
        <w:t>。</w:t>
      </w:r>
    </w:p>
    <w:p>
      <w:pPr>
        <w:ind w:firstLine="640" w:firstLineChars="200"/>
        <w:rPr>
          <w:rFonts w:ascii="仿宋_GB2312" w:hAnsi="黑体" w:eastAsia="仿宋_GB2312" w:cs="Times New Roman"/>
          <w:color w:val="000000" w:themeColor="text1"/>
          <w:sz w:val="32"/>
          <w:szCs w:val="32"/>
        </w:rPr>
      </w:pPr>
      <w:r>
        <w:rPr>
          <w:rFonts w:hint="eastAsia" w:ascii="仿宋_GB2312" w:hAnsi="黑体" w:eastAsia="仿宋_GB2312"/>
          <w:color w:val="000000" w:themeColor="text1"/>
          <w:sz w:val="32"/>
          <w:szCs w:val="32"/>
        </w:rPr>
        <w:t>（二）海口市美兰区演丰建设服务中心</w:t>
      </w:r>
      <w:r>
        <w:rPr>
          <w:rFonts w:hint="eastAsia"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年政府性基金预算“三公”经费预算数为</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万元，其中：</w:t>
      </w:r>
    </w:p>
    <w:p>
      <w:pPr>
        <w:ind w:firstLine="640"/>
        <w:rPr>
          <w:rFonts w:hint="eastAsia" w:ascii="Times New Roman" w:hAnsi="Times New Roman" w:eastAsia="仿宋_GB2312" w:cs="Times New Roman"/>
          <w:color w:val="000000" w:themeColor="text1"/>
          <w:sz w:val="32"/>
          <w:shd w:val="clear" w:color="auto" w:fill="FFFFFF"/>
        </w:rPr>
      </w:pPr>
      <w:r>
        <w:rPr>
          <w:rFonts w:ascii="Times New Roman" w:hAnsi="Times New Roman" w:eastAsia="仿宋_GB2312" w:cs="Times New Roman"/>
          <w:color w:val="000000" w:themeColor="text1"/>
          <w:sz w:val="32"/>
          <w:shd w:val="clear" w:color="auto" w:fill="FFFFFF"/>
        </w:rPr>
        <w:t>因公出国（境）经费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ascii="Times New Roman" w:hAnsi="Times New Roman" w:eastAsia="仿宋_GB2312" w:cs="Times New Roman"/>
          <w:color w:val="000000" w:themeColor="text1"/>
          <w:sz w:val="32"/>
          <w:shd w:val="clear" w:color="auto" w:fill="FFFFFF"/>
        </w:rPr>
        <w:t>，与</w:t>
      </w:r>
      <w:r>
        <w:rPr>
          <w:rFonts w:hint="eastAsia" w:ascii="Times New Roman" w:hAnsi="Times New Roman" w:eastAsia="仿宋_GB2312" w:cs="Times New Roman"/>
          <w:color w:val="000000" w:themeColor="text1"/>
          <w:sz w:val="32"/>
          <w:shd w:val="clear" w:color="auto" w:fill="FFFFFF"/>
        </w:rPr>
        <w:t>上</w:t>
      </w:r>
      <w:r>
        <w:rPr>
          <w:rFonts w:ascii="Times New Roman" w:hAnsi="Times New Roman" w:eastAsia="仿宋_GB2312" w:cs="Times New Roman"/>
          <w:color w:val="000000" w:themeColor="text1"/>
          <w:sz w:val="32"/>
          <w:shd w:val="clear" w:color="auto" w:fill="FFFFFF"/>
        </w:rPr>
        <w:t>年预算持平；公务用车购置及运行费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万元（其中，</w:t>
      </w:r>
      <w:r>
        <w:rPr>
          <w:rFonts w:ascii="Times New Roman" w:hAnsi="Times New Roman" w:eastAsia="仿宋_GB2312" w:cs="Times New Roman"/>
          <w:color w:val="000000" w:themeColor="text1"/>
          <w:sz w:val="32"/>
          <w:shd w:val="clear" w:color="auto" w:fill="FFFFFF"/>
        </w:rPr>
        <w:t>公务用车购置</w:t>
      </w:r>
      <w:r>
        <w:rPr>
          <w:rFonts w:hint="eastAsia" w:ascii="Times New Roman" w:hAnsi="Times New Roman" w:eastAsia="仿宋_GB2312" w:cs="Times New Roman"/>
          <w:color w:val="000000" w:themeColor="text1"/>
          <w:sz w:val="32"/>
          <w:shd w:val="clear" w:color="auto" w:fill="FFFFFF"/>
        </w:rPr>
        <w:t>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hint="eastAsia" w:ascii="Times New Roman" w:hAnsi="Times New Roman" w:eastAsia="仿宋_GB2312" w:cs="Times New Roman"/>
          <w:color w:val="000000" w:themeColor="text1"/>
          <w:sz w:val="32"/>
          <w:shd w:val="clear" w:color="auto" w:fill="FFFFFF"/>
        </w:rPr>
        <w:t>，公务用车</w:t>
      </w:r>
      <w:r>
        <w:rPr>
          <w:rFonts w:ascii="Times New Roman" w:hAnsi="Times New Roman" w:eastAsia="仿宋_GB2312" w:cs="Times New Roman"/>
          <w:color w:val="000000" w:themeColor="text1"/>
          <w:sz w:val="32"/>
          <w:shd w:val="clear" w:color="auto" w:fill="FFFFFF"/>
        </w:rPr>
        <w:t>运行</w:t>
      </w:r>
      <w:r>
        <w:rPr>
          <w:rFonts w:hint="eastAsia" w:ascii="Times New Roman" w:hAnsi="Times New Roman" w:eastAsia="仿宋_GB2312" w:cs="Times New Roman"/>
          <w:color w:val="000000" w:themeColor="text1"/>
          <w:sz w:val="32"/>
          <w:shd w:val="clear" w:color="auto" w:fill="FFFFFF"/>
        </w:rPr>
        <w:t>维护</w:t>
      </w:r>
      <w:r>
        <w:rPr>
          <w:rFonts w:ascii="Times New Roman" w:hAnsi="Times New Roman" w:eastAsia="仿宋_GB2312" w:cs="Times New Roman"/>
          <w:color w:val="000000" w:themeColor="text1"/>
          <w:sz w:val="32"/>
          <w:shd w:val="clear" w:color="auto" w:fill="FFFFFF"/>
        </w:rPr>
        <w:t>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ascii="Times New Roman" w:hAnsi="Times New Roman" w:eastAsia="仿宋_GB2312" w:cs="Times New Roman"/>
          <w:color w:val="000000" w:themeColor="text1"/>
          <w:sz w:val="32"/>
          <w:shd w:val="clear" w:color="auto" w:fill="FFFFFF"/>
        </w:rPr>
        <w:t>，与</w:t>
      </w:r>
      <w:r>
        <w:rPr>
          <w:rFonts w:hint="eastAsia" w:ascii="Times New Roman" w:hAnsi="Times New Roman" w:eastAsia="仿宋_GB2312" w:cs="Times New Roman"/>
          <w:color w:val="000000" w:themeColor="text1"/>
          <w:sz w:val="32"/>
          <w:shd w:val="clear" w:color="auto" w:fill="FFFFFF"/>
        </w:rPr>
        <w:t>上</w:t>
      </w:r>
      <w:r>
        <w:rPr>
          <w:rFonts w:ascii="Times New Roman" w:hAnsi="Times New Roman" w:eastAsia="仿宋_GB2312" w:cs="Times New Roman"/>
          <w:color w:val="000000" w:themeColor="text1"/>
          <w:sz w:val="32"/>
          <w:shd w:val="clear" w:color="auto" w:fill="FFFFFF"/>
        </w:rPr>
        <w:t>年预算持平</w:t>
      </w:r>
      <w:r>
        <w:rPr>
          <w:rFonts w:hint="eastAsia" w:ascii="Times New Roman" w:hAnsi="Times New Roman" w:eastAsia="仿宋_GB2312" w:cs="Times New Roman"/>
          <w:color w:val="000000" w:themeColor="text1"/>
          <w:sz w:val="32"/>
          <w:shd w:val="clear" w:color="auto" w:fill="FFFFFF"/>
        </w:rPr>
        <w:t>；公务车保有量</w:t>
      </w:r>
      <w:r>
        <w:rPr>
          <w:rFonts w:hint="eastAsia" w:ascii="仿宋_GB2312" w:hAnsi="黑体" w:eastAsia="仿宋_GB2312" w:cs="仿宋_GB2312"/>
          <w:color w:val="000000" w:themeColor="text1"/>
          <w:sz w:val="32"/>
          <w:szCs w:val="32"/>
        </w:rPr>
        <w:t>0辆，计划购置0辆</w:t>
      </w:r>
      <w:r>
        <w:rPr>
          <w:rFonts w:hint="eastAsia" w:ascii="Times New Roman" w:hAnsi="Times New Roman" w:eastAsia="仿宋_GB2312" w:cs="Times New Roman"/>
          <w:color w:val="000000" w:themeColor="text1"/>
          <w:sz w:val="32"/>
          <w:shd w:val="clear" w:color="auto" w:fill="FFFFFF"/>
        </w:rPr>
        <w:t>。</w:t>
      </w:r>
      <w:r>
        <w:rPr>
          <w:rFonts w:ascii="仿宋_GB2312" w:hAnsi="黑体" w:eastAsia="仿宋_GB2312" w:cs="Times New Roman"/>
          <w:color w:val="000000" w:themeColor="text1"/>
          <w:sz w:val="32"/>
          <w:szCs w:val="32"/>
        </w:rPr>
        <w:t>公务接待费</w:t>
      </w:r>
      <w:r>
        <w:rPr>
          <w:rFonts w:hint="eastAsia" w:ascii="仿宋_GB2312" w:hAnsi="黑体" w:eastAsia="仿宋_GB2312" w:cs="仿宋_GB2312"/>
          <w:color w:val="000000" w:themeColor="text1"/>
          <w:sz w:val="32"/>
          <w:szCs w:val="32"/>
        </w:rPr>
        <w:t>0.00</w:t>
      </w:r>
      <w:r>
        <w:rPr>
          <w:rFonts w:ascii="Times New Roman" w:hAnsi="Times New Roman" w:eastAsia="仿宋_GB2312" w:cs="Times New Roman"/>
          <w:color w:val="000000" w:themeColor="text1"/>
          <w:sz w:val="32"/>
          <w:shd w:val="clear" w:color="auto" w:fill="FFFFFF"/>
        </w:rPr>
        <w:t>万元，与</w:t>
      </w:r>
      <w:r>
        <w:rPr>
          <w:rFonts w:hint="eastAsia" w:ascii="Times New Roman" w:hAnsi="Times New Roman" w:eastAsia="仿宋_GB2312" w:cs="Times New Roman"/>
          <w:color w:val="000000" w:themeColor="text1"/>
          <w:sz w:val="32"/>
          <w:shd w:val="clear" w:color="auto" w:fill="FFFFFF"/>
        </w:rPr>
        <w:t>上</w:t>
      </w:r>
      <w:r>
        <w:rPr>
          <w:rFonts w:ascii="Times New Roman" w:hAnsi="Times New Roman" w:eastAsia="仿宋_GB2312" w:cs="Times New Roman"/>
          <w:color w:val="000000" w:themeColor="text1"/>
          <w:sz w:val="32"/>
          <w:shd w:val="clear" w:color="auto" w:fill="FFFFFF"/>
        </w:rPr>
        <w:t>年预算持平</w:t>
      </w:r>
      <w:r>
        <w:rPr>
          <w:rFonts w:hint="eastAsia" w:ascii="Times New Roman" w:hAnsi="Times New Roman" w:eastAsia="仿宋_GB2312" w:cs="Times New Roman"/>
          <w:color w:val="000000" w:themeColor="text1"/>
          <w:sz w:val="32"/>
          <w:shd w:val="clear" w:color="auto" w:fill="FFFFFF"/>
        </w:rPr>
        <w:t>。</w:t>
      </w:r>
    </w:p>
    <w:p>
      <w:pPr>
        <w:ind w:firstLine="640"/>
        <w:rPr>
          <w:rFonts w:hint="default" w:ascii="Times New Roman" w:hAnsi="Times New Roman" w:eastAsia="仿宋_GB2312" w:cs="Times New Roman"/>
          <w:color w:val="000000" w:themeColor="text1"/>
          <w:sz w:val="32"/>
          <w:shd w:val="clear" w:color="auto" w:fill="FFFFFF"/>
          <w:lang w:val="en-US" w:eastAsia="zh-CN"/>
        </w:rPr>
      </w:pPr>
      <w:r>
        <w:rPr>
          <w:rFonts w:hint="eastAsia" w:ascii="Times New Roman" w:hAnsi="Times New Roman" w:eastAsia="仿宋_GB2312" w:cs="Times New Roman"/>
          <w:color w:val="000000" w:themeColor="text1"/>
          <w:sz w:val="32"/>
          <w:shd w:val="clear" w:color="auto" w:fill="FFFFFF"/>
          <w:lang w:val="en-US" w:eastAsia="zh-CN"/>
        </w:rPr>
        <w:t>注：本</w:t>
      </w:r>
      <w:r>
        <w:rPr>
          <w:rFonts w:hint="eastAsia" w:ascii="Times New Roman" w:hAnsi="Times New Roman" w:eastAsia="仿宋_GB2312" w:cs="Times New Roman"/>
          <w:kern w:val="2"/>
          <w:sz w:val="32"/>
          <w:szCs w:val="22"/>
          <w:shd w:val="clear" w:fill="FFFFFF"/>
          <w:lang w:val="en-US" w:eastAsia="zh-CN" w:bidi="ar"/>
        </w:rPr>
        <w:t>无“三公”经费预算，填报为零。</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五、关于海口市美兰区演丰建设服务中心2024</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政府性基金预算当年拨款情况说明</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（一）政府性基金预算当年规模变化情况</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海口市美兰区演丰建设服务中心</w:t>
      </w:r>
      <w:r>
        <w:rPr>
          <w:rFonts w:hint="eastAsia"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年政府性基金预算当年拨款</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rPr>
        <w:t>持平。</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（二）政府性基金预算当年拨款结构情况</w:t>
      </w:r>
    </w:p>
    <w:p>
      <w:pPr>
        <w:ind w:firstLine="800" w:firstLineChars="25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科学技术支出（类）支出0.00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%；文化体育与传媒支出（类）</w:t>
      </w:r>
      <w:r>
        <w:rPr>
          <w:rFonts w:hint="eastAsia" w:ascii="仿宋_GB2312" w:hAnsi="黑体" w:eastAsia="仿宋_GB2312" w:cs="仿宋_GB2312"/>
          <w:color w:val="000000" w:themeColor="text1"/>
          <w:sz w:val="32"/>
          <w:szCs w:val="32"/>
        </w:rPr>
        <w:t>支出0.00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%；社会保障和就业支出（类）</w:t>
      </w:r>
      <w:r>
        <w:rPr>
          <w:rFonts w:hint="eastAsia" w:ascii="仿宋_GB2312" w:hAnsi="黑体" w:eastAsia="仿宋_GB2312" w:cs="仿宋_GB2312"/>
          <w:color w:val="000000" w:themeColor="text1"/>
          <w:sz w:val="32"/>
          <w:szCs w:val="32"/>
        </w:rPr>
        <w:t>支出0.00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%；节能环保（类）</w:t>
      </w:r>
      <w:r>
        <w:rPr>
          <w:rFonts w:hint="eastAsia" w:ascii="仿宋_GB2312" w:hAnsi="黑体" w:eastAsia="仿宋_GB2312" w:cs="仿宋_GB2312"/>
          <w:color w:val="000000" w:themeColor="text1"/>
          <w:sz w:val="32"/>
          <w:szCs w:val="32"/>
        </w:rPr>
        <w:t>支出0.00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（三）政府性基金预算当年拨款具体使用情况</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1. 科学技术支出（类）核电站乏燃料处理处置基金支出（款）乏燃料运输（项）2024</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rPr>
        <w:t>持平</w:t>
      </w:r>
      <w:r>
        <w:rPr>
          <w:rFonts w:hint="eastAsia" w:ascii="仿宋_GB2312" w:hAnsi="黑体" w:eastAsia="仿宋_GB2312"/>
          <w:color w:val="000000" w:themeColor="text1"/>
          <w:sz w:val="32"/>
          <w:szCs w:val="32"/>
        </w:rPr>
        <w:t>。</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2.</w:t>
      </w:r>
      <w:r>
        <w:rPr>
          <w:rFonts w:hint="eastAsia" w:ascii="仿宋_GB2312" w:hAnsi="黑体" w:eastAsia="仿宋_GB2312" w:cs="仿宋_GB2312"/>
          <w:color w:val="000000" w:themeColor="text1"/>
          <w:sz w:val="32"/>
          <w:szCs w:val="32"/>
        </w:rPr>
        <w:t xml:space="preserve"> 科学技术支出（类）核电站乏燃料处理处置基金支出（款）乏燃料离堆贮存（项）2024</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rPr>
        <w:t>持平</w:t>
      </w:r>
      <w:r>
        <w:rPr>
          <w:rFonts w:hint="eastAsia" w:ascii="仿宋_GB2312" w:hAnsi="黑体" w:eastAsia="仿宋_GB2312"/>
          <w:color w:val="000000" w:themeColor="text1"/>
          <w:sz w:val="32"/>
          <w:szCs w:val="32"/>
        </w:rPr>
        <w:t>。</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六、关于海口美兰区演丰建设服务中心2024</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收支预算情况的总体说明</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按照综合预算原则，海口市美兰区演丰建设服务中心所有收入和支出均纳入部门预算管理。收入包括：一般公共预算收入、政府性基金收入、其他财政资金收入、事业收入</w:t>
      </w:r>
      <w:r>
        <w:rPr>
          <w:rFonts w:hint="eastAsia" w:ascii="仿宋_GB2312" w:hAnsi="黑体" w:eastAsia="仿宋_GB2312"/>
          <w:color w:val="000000" w:themeColor="text1"/>
          <w:sz w:val="32"/>
          <w:szCs w:val="32"/>
        </w:rPr>
        <w:t>；支出包括：一般公共服务支出、外交支出、国防支出、公共安全支出、教育支出。海口市美兰区演丰建设服务中心</w:t>
      </w:r>
      <w:r>
        <w:rPr>
          <w:rFonts w:hint="eastAsia"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年收支总预算</w:t>
      </w:r>
      <w:r>
        <w:rPr>
          <w:rFonts w:hint="eastAsia" w:ascii="仿宋_GB2312" w:hAnsi="黑体" w:eastAsia="仿宋_GB2312" w:cs="仿宋_GB2312"/>
          <w:color w:val="000000" w:themeColor="text1"/>
          <w:sz w:val="32"/>
          <w:szCs w:val="32"/>
        </w:rPr>
        <w:t>100.35</w:t>
      </w:r>
      <w:r>
        <w:rPr>
          <w:rFonts w:hint="eastAsia" w:ascii="仿宋_GB2312" w:hAnsi="黑体" w:eastAsia="仿宋_GB2312"/>
          <w:color w:val="000000" w:themeColor="text1"/>
          <w:sz w:val="32"/>
          <w:szCs w:val="32"/>
        </w:rPr>
        <w:t>万元。</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七、关于海口市美兰区演丰建设服务中心2024</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收入预算情况说明</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海口市美兰区演丰建设服务中心2024</w:t>
      </w:r>
      <w:r>
        <w:rPr>
          <w:rFonts w:hint="eastAsia" w:ascii="仿宋_GB2312" w:hAnsi="黑体" w:eastAsia="仿宋_GB2312"/>
          <w:color w:val="000000" w:themeColor="text1"/>
          <w:sz w:val="32"/>
          <w:szCs w:val="32"/>
        </w:rPr>
        <w:t>年收入预算</w:t>
      </w:r>
      <w:r>
        <w:rPr>
          <w:rFonts w:hint="eastAsia" w:ascii="仿宋_GB2312" w:hAnsi="黑体" w:eastAsia="仿宋_GB2312" w:cs="仿宋_GB2312"/>
          <w:color w:val="000000" w:themeColor="text1"/>
          <w:sz w:val="32"/>
          <w:szCs w:val="32"/>
        </w:rPr>
        <w:t>100.35</w:t>
      </w:r>
      <w:r>
        <w:rPr>
          <w:rFonts w:hint="eastAsia" w:ascii="仿宋_GB2312" w:hAnsi="黑体" w:eastAsia="仿宋_GB2312"/>
          <w:color w:val="000000" w:themeColor="text1"/>
          <w:sz w:val="32"/>
          <w:szCs w:val="32"/>
        </w:rPr>
        <w:t>万元，其中：上年结转</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%；经费拨款收入</w:t>
      </w:r>
      <w:r>
        <w:rPr>
          <w:rFonts w:hint="eastAsia" w:ascii="仿宋_GB2312" w:hAnsi="黑体" w:eastAsia="仿宋_GB2312" w:cs="仿宋_GB2312"/>
          <w:color w:val="000000" w:themeColor="text1"/>
          <w:sz w:val="32"/>
          <w:szCs w:val="32"/>
        </w:rPr>
        <w:t>100.35</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100</w:t>
      </w:r>
      <w:r>
        <w:rPr>
          <w:rFonts w:hint="eastAsia" w:ascii="仿宋_GB2312" w:hAnsi="黑体" w:eastAsia="仿宋_GB2312"/>
          <w:color w:val="000000" w:themeColor="text1"/>
          <w:sz w:val="32"/>
          <w:szCs w:val="32"/>
        </w:rPr>
        <w:t>%；政府性基金收入</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%；专项收入</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%。比上年预算数</w:t>
      </w:r>
      <w:r>
        <w:rPr>
          <w:rFonts w:hint="eastAsia" w:ascii="仿宋_GB2312" w:hAnsi="黑体" w:eastAsia="仿宋_GB2312" w:cs="仿宋_GB2312"/>
          <w:color w:val="000000" w:themeColor="text1"/>
          <w:sz w:val="32"/>
          <w:szCs w:val="32"/>
        </w:rPr>
        <w:t>减少3.43</w:t>
      </w:r>
      <w:r>
        <w:rPr>
          <w:rFonts w:hint="eastAsia" w:ascii="仿宋_GB2312" w:hAnsi="黑体" w:eastAsia="仿宋_GB2312"/>
          <w:color w:val="000000" w:themeColor="text1"/>
          <w:sz w:val="32"/>
          <w:szCs w:val="32"/>
        </w:rPr>
        <w:t>万元，主要是项目经费缩减开支。</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八、关于海口市美兰区演丰建设服务中心2024</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支出预算情况说明</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海口市美兰区演丰建设服务中心2024</w:t>
      </w:r>
      <w:r>
        <w:rPr>
          <w:rFonts w:hint="eastAsia" w:ascii="仿宋_GB2312" w:hAnsi="黑体" w:eastAsia="仿宋_GB2312"/>
          <w:color w:val="000000" w:themeColor="text1"/>
          <w:sz w:val="32"/>
          <w:szCs w:val="32"/>
        </w:rPr>
        <w:t>年支出预算</w:t>
      </w:r>
      <w:r>
        <w:rPr>
          <w:rFonts w:hint="eastAsia" w:ascii="仿宋_GB2312" w:hAnsi="黑体" w:eastAsia="仿宋_GB2312" w:cs="仿宋_GB2312"/>
          <w:color w:val="000000" w:themeColor="text1"/>
          <w:sz w:val="32"/>
          <w:szCs w:val="32"/>
        </w:rPr>
        <w:t>100.35</w:t>
      </w:r>
      <w:r>
        <w:rPr>
          <w:rFonts w:hint="eastAsia" w:ascii="仿宋_GB2312" w:hAnsi="黑体" w:eastAsia="仿宋_GB2312"/>
          <w:color w:val="000000" w:themeColor="text1"/>
          <w:sz w:val="32"/>
          <w:szCs w:val="32"/>
        </w:rPr>
        <w:t>万元，其中：基本支出</w:t>
      </w:r>
      <w:r>
        <w:rPr>
          <w:rFonts w:hint="eastAsia" w:ascii="仿宋_GB2312" w:hAnsi="黑体" w:eastAsia="仿宋_GB2312" w:cs="仿宋_GB2312"/>
          <w:color w:val="000000" w:themeColor="text1"/>
          <w:sz w:val="32"/>
          <w:szCs w:val="32"/>
        </w:rPr>
        <w:t>80.35</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80</w:t>
      </w:r>
      <w:r>
        <w:rPr>
          <w:rFonts w:hint="eastAsia" w:ascii="仿宋_GB2312" w:hAnsi="黑体" w:eastAsia="仿宋_GB2312"/>
          <w:color w:val="000000" w:themeColor="text1"/>
          <w:sz w:val="32"/>
          <w:szCs w:val="32"/>
        </w:rPr>
        <w:t>%；项目支出</w:t>
      </w:r>
      <w:r>
        <w:rPr>
          <w:rFonts w:hint="eastAsia" w:ascii="仿宋_GB2312" w:hAnsi="黑体" w:eastAsia="仿宋_GB2312" w:cs="仿宋_GB2312"/>
          <w:color w:val="000000" w:themeColor="text1"/>
          <w:sz w:val="32"/>
          <w:szCs w:val="32"/>
        </w:rPr>
        <w:t>20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20</w:t>
      </w:r>
      <w:r>
        <w:rPr>
          <w:rFonts w:hint="eastAsia" w:ascii="仿宋_GB2312" w:hAnsi="黑体" w:eastAsia="仿宋_GB2312"/>
          <w:color w:val="000000" w:themeColor="text1"/>
          <w:sz w:val="32"/>
          <w:szCs w:val="32"/>
        </w:rPr>
        <w:t>%。比上年预算数</w:t>
      </w:r>
      <w:r>
        <w:rPr>
          <w:rFonts w:hint="eastAsia" w:ascii="仿宋_GB2312" w:hAnsi="黑体" w:eastAsia="仿宋_GB2312" w:cs="仿宋_GB2312"/>
          <w:color w:val="000000" w:themeColor="text1"/>
          <w:sz w:val="32"/>
          <w:szCs w:val="32"/>
        </w:rPr>
        <w:t>减少3.43</w:t>
      </w:r>
      <w:r>
        <w:rPr>
          <w:rFonts w:hint="eastAsia" w:ascii="仿宋_GB2312" w:hAnsi="黑体" w:eastAsia="仿宋_GB2312"/>
          <w:color w:val="000000" w:themeColor="text1"/>
          <w:sz w:val="32"/>
          <w:szCs w:val="32"/>
        </w:rPr>
        <w:t>万元，主要是项目经费开支缩减。</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九、其他重要事项的情况说明</w:t>
      </w:r>
    </w:p>
    <w:p>
      <w:pPr>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（一）机关运行经费</w:t>
      </w:r>
    </w:p>
    <w:p>
      <w:pPr>
        <w:ind w:firstLine="640"/>
        <w:rPr>
          <w:rFonts w:ascii="仿宋_GB2312" w:hAnsi="黑体" w:eastAsia="仿宋_GB2312" w:cs="仿宋_GB2312"/>
          <w:color w:val="000000" w:themeColor="text1"/>
          <w:sz w:val="32"/>
          <w:szCs w:val="32"/>
        </w:rPr>
      </w:pPr>
      <w:r>
        <w:rPr>
          <w:rFonts w:hint="eastAsia" w:ascii="仿宋_GB2312" w:hAnsi="宋体" w:eastAsia="仿宋_GB2312" w:cs="仿宋_GB2312"/>
          <w:kern w:val="2"/>
          <w:sz w:val="32"/>
          <w:szCs w:val="32"/>
          <w:lang w:val="en-US" w:eastAsia="zh-CN" w:bidi="ar"/>
        </w:rPr>
        <w:t>本单位为事业单位，</w:t>
      </w:r>
      <w:r>
        <w:rPr>
          <w:rFonts w:hint="eastAsia" w:ascii="仿宋_GB2312" w:hAnsi="黑体" w:eastAsia="仿宋_GB2312" w:cs="仿宋_GB2312"/>
          <w:color w:val="000000" w:themeColor="text1"/>
          <w:sz w:val="32"/>
          <w:szCs w:val="32"/>
        </w:rPr>
        <w:t>无机关运行经费</w:t>
      </w:r>
      <w:bookmarkStart w:id="0" w:name="_GoBack"/>
      <w:bookmarkEnd w:id="0"/>
    </w:p>
    <w:p>
      <w:pPr>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（二）政府采购情况</w:t>
      </w:r>
    </w:p>
    <w:p>
      <w:pPr>
        <w:ind w:firstLine="64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w:t>
      </w:r>
      <w:r>
        <w:rPr>
          <w:rFonts w:hint="eastAsia" w:ascii="仿宋_GB2312" w:hAnsi="黑体" w:eastAsia="仿宋_GB2312" w:cs="仿宋_GB2312"/>
          <w:color w:val="000000" w:themeColor="text1"/>
          <w:sz w:val="32"/>
          <w:szCs w:val="32"/>
        </w:rPr>
        <w:t>海口市美兰区演丰建设服务中心政府采购预算总额0.00</w:t>
      </w:r>
      <w:r>
        <w:rPr>
          <w:rFonts w:hint="eastAsia" w:ascii="仿宋_GB2312" w:hAnsi="黑体" w:eastAsia="仿宋_GB2312"/>
          <w:color w:val="000000" w:themeColor="text1"/>
          <w:sz w:val="32"/>
          <w:szCs w:val="32"/>
        </w:rPr>
        <w:t>万元，其中：政府采购货物预算</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万元，政府采购工程预算</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万元，政府采购服务预算</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p>
    <w:p>
      <w:pPr>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（三）国有资产占有使用情况</w:t>
      </w:r>
    </w:p>
    <w:p>
      <w:pPr>
        <w:ind w:firstLine="640" w:firstLineChars="200"/>
        <w:rPr>
          <w:rFonts w:ascii="仿宋_GB2312" w:hAnsi="黑体" w:eastAsia="仿宋_GB2312" w:cs="仿宋_GB2312"/>
          <w:color w:val="000000" w:themeColor="text1"/>
          <w:sz w:val="32"/>
          <w:szCs w:val="32"/>
        </w:rPr>
      </w:pPr>
      <w:r>
        <w:rPr>
          <w:rFonts w:hint="eastAsia" w:ascii="仿宋_GB2312" w:hAnsi="黑体" w:eastAsia="仿宋_GB2312" w:cs="仿宋_GB2312"/>
          <w:color w:val="000000" w:themeColor="text1"/>
          <w:sz w:val="32"/>
          <w:szCs w:val="32"/>
        </w:rPr>
        <w:t>截至2023</w:t>
      </w:r>
      <w:r>
        <w:rPr>
          <w:rFonts w:hint="eastAsia" w:ascii="仿宋_GB2312" w:hAnsi="黑体" w:eastAsia="仿宋_GB2312"/>
          <w:color w:val="000000" w:themeColor="text1"/>
          <w:sz w:val="32"/>
          <w:szCs w:val="32"/>
        </w:rPr>
        <w:t>年12月31日，</w:t>
      </w:r>
      <w:r>
        <w:rPr>
          <w:rFonts w:hint="eastAsia" w:ascii="仿宋_GB2312" w:hAnsi="黑体" w:eastAsia="仿宋_GB2312" w:cs="仿宋_GB2312"/>
          <w:color w:val="000000" w:themeColor="text1"/>
          <w:sz w:val="32"/>
          <w:szCs w:val="32"/>
        </w:rPr>
        <w:t>海口市美兰区演丰建设服务中心共有车辆0辆，其中，领导干部用车0辆，机要通信应急用车0辆、一般执法执勤用车0辆、特种专业技术用车0辆、其他用车0辆。单位价值100万元以上设备0台（套）。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（四）绩效目标设置情况</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w:t>
      </w:r>
      <w:r>
        <w:rPr>
          <w:rFonts w:hint="eastAsia" w:ascii="仿宋_GB2312" w:hAnsi="黑体" w:eastAsia="仿宋_GB2312" w:cs="仿宋_GB2312"/>
          <w:color w:val="000000" w:themeColor="text1"/>
          <w:sz w:val="32"/>
          <w:szCs w:val="32"/>
        </w:rPr>
        <w:t>海口市美兰区演丰建设服务中心13个项目实行绩效目标管理，涉及一般公共预算100.35</w:t>
      </w:r>
      <w:r>
        <w:rPr>
          <w:rFonts w:hint="eastAsia" w:ascii="仿宋_GB2312" w:hAnsi="黑体" w:eastAsia="仿宋_GB2312"/>
          <w:color w:val="000000" w:themeColor="text1"/>
          <w:sz w:val="32"/>
          <w:szCs w:val="32"/>
        </w:rPr>
        <w:t>万元、政府性基金</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p>
    <w:p>
      <w:pPr>
        <w:jc w:val="center"/>
        <w:rPr>
          <w:rFonts w:ascii="黑体" w:hAnsi="黑体" w:eastAsia="黑体"/>
          <w:color w:val="000000" w:themeColor="text1"/>
          <w:sz w:val="32"/>
          <w:szCs w:val="32"/>
        </w:rPr>
      </w:pPr>
    </w:p>
    <w:p>
      <w:pPr>
        <w:widowControl/>
        <w:jc w:val="left"/>
        <w:rPr>
          <w:rFonts w:ascii="仿宋_GB2312" w:hAnsi="宋体" w:eastAsia="仿宋_GB2312" w:cs="宋体"/>
          <w:color w:val="000000" w:themeColor="text1"/>
          <w:kern w:val="0"/>
          <w:sz w:val="32"/>
          <w:szCs w:val="30"/>
        </w:rPr>
      </w:pPr>
      <w:r>
        <w:rPr>
          <w:rFonts w:ascii="仿宋_GB2312" w:hAnsi="宋体" w:eastAsia="仿宋_GB2312" w:cs="宋体"/>
          <w:color w:val="000000" w:themeColor="text1"/>
          <w:kern w:val="0"/>
          <w:sz w:val="32"/>
          <w:szCs w:val="30"/>
        </w:rPr>
        <w:br w:type="page"/>
      </w:r>
    </w:p>
    <w:p>
      <w:pPr>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第四部分  名词解释</w:t>
      </w:r>
    </w:p>
    <w:p>
      <w:pPr>
        <w:ind w:firstLine="640" w:firstLineChars="200"/>
        <w:jc w:val="left"/>
        <w:rPr>
          <w:rFonts w:ascii="仿宋_GB2312" w:eastAsia="仿宋_GB2312" w:cs="宋体"/>
          <w:bCs/>
          <w:color w:val="000000" w:themeColor="text1"/>
          <w:kern w:val="0"/>
          <w:sz w:val="32"/>
          <w:szCs w:val="32"/>
          <w:lang w:val="zh-CN"/>
        </w:rPr>
      </w:pP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一、财政拨款收入：指本级财政当年拨付的资金。</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color w:val="000000" w:themeColor="text1"/>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931" w:hanging="1080"/>
      </w:pPr>
      <w:rPr>
        <w:rFonts w:hint="default"/>
        <w:color w:val="000000" w:themeColor="text1"/>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580962"/>
    <w:multiLevelType w:val="multilevel"/>
    <w:tmpl w:val="36580962"/>
    <w:lvl w:ilvl="0" w:tentative="0">
      <w:start w:val="1"/>
      <w:numFmt w:val="japaneseCounting"/>
      <w:lvlText w:val="%1、"/>
      <w:lvlJc w:val="left"/>
      <w:pPr>
        <w:ind w:left="1555" w:hanging="720"/>
      </w:pPr>
      <w:rPr>
        <w:rFonts w:hint="default" w:ascii="黑体" w:hAnsi="黑体" w:eastAsia="黑体" w:cs="黑体"/>
      </w:rPr>
    </w:lvl>
    <w:lvl w:ilvl="1" w:tentative="0">
      <w:start w:val="1"/>
      <w:numFmt w:val="lowerLetter"/>
      <w:lvlText w:val="%2)"/>
      <w:lvlJc w:val="left"/>
      <w:pPr>
        <w:ind w:left="1675" w:hanging="420"/>
      </w:pPr>
    </w:lvl>
    <w:lvl w:ilvl="2" w:tentative="0">
      <w:start w:val="1"/>
      <w:numFmt w:val="lowerRoman"/>
      <w:lvlText w:val="%3."/>
      <w:lvlJc w:val="right"/>
      <w:pPr>
        <w:ind w:left="2095" w:hanging="420"/>
      </w:pPr>
    </w:lvl>
    <w:lvl w:ilvl="3" w:tentative="0">
      <w:start w:val="1"/>
      <w:numFmt w:val="decimal"/>
      <w:lvlText w:val="%4."/>
      <w:lvlJc w:val="left"/>
      <w:pPr>
        <w:ind w:left="2515" w:hanging="420"/>
      </w:pPr>
    </w:lvl>
    <w:lvl w:ilvl="4" w:tentative="0">
      <w:start w:val="1"/>
      <w:numFmt w:val="lowerLetter"/>
      <w:lvlText w:val="%5)"/>
      <w:lvlJc w:val="left"/>
      <w:pPr>
        <w:ind w:left="2935" w:hanging="420"/>
      </w:pPr>
    </w:lvl>
    <w:lvl w:ilvl="5" w:tentative="0">
      <w:start w:val="1"/>
      <w:numFmt w:val="lowerRoman"/>
      <w:lvlText w:val="%6."/>
      <w:lvlJc w:val="right"/>
      <w:pPr>
        <w:ind w:left="3355" w:hanging="420"/>
      </w:pPr>
    </w:lvl>
    <w:lvl w:ilvl="6" w:tentative="0">
      <w:start w:val="1"/>
      <w:numFmt w:val="decimal"/>
      <w:lvlText w:val="%7."/>
      <w:lvlJc w:val="left"/>
      <w:pPr>
        <w:ind w:left="3775" w:hanging="420"/>
      </w:pPr>
    </w:lvl>
    <w:lvl w:ilvl="7" w:tentative="0">
      <w:start w:val="1"/>
      <w:numFmt w:val="lowerLetter"/>
      <w:lvlText w:val="%8)"/>
      <w:lvlJc w:val="left"/>
      <w:pPr>
        <w:ind w:left="4195" w:hanging="420"/>
      </w:pPr>
    </w:lvl>
    <w:lvl w:ilvl="8" w:tentative="0">
      <w:start w:val="1"/>
      <w:numFmt w:val="lowerRoman"/>
      <w:lvlText w:val="%9."/>
      <w:lvlJc w:val="right"/>
      <w:pPr>
        <w:ind w:left="4615" w:hanging="420"/>
      </w:pPr>
    </w:lvl>
  </w:abstractNum>
  <w:abstractNum w:abstractNumId="4">
    <w:nsid w:val="59765D84"/>
    <w:multiLevelType w:val="multilevel"/>
    <w:tmpl w:val="59765D84"/>
    <w:lvl w:ilvl="0" w:tentative="0">
      <w:start w:val="1"/>
      <w:numFmt w:val="chineseCountingThousand"/>
      <w:lvlText w:val="%1、"/>
      <w:lvlJc w:val="left"/>
      <w:pPr>
        <w:ind w:left="720" w:hanging="720"/>
      </w:pPr>
      <w:rPr>
        <w:rFonts w:hint="eastAsia" w:ascii="仿宋_GB2312" w:eastAsia="仿宋_GB2312"/>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4A00C9"/>
    <w:rsid w:val="00076011"/>
    <w:rsid w:val="000B7207"/>
    <w:rsid w:val="000D65A7"/>
    <w:rsid w:val="0012359C"/>
    <w:rsid w:val="00161086"/>
    <w:rsid w:val="00173ABC"/>
    <w:rsid w:val="001D6D97"/>
    <w:rsid w:val="00296ADE"/>
    <w:rsid w:val="003A4315"/>
    <w:rsid w:val="003B6CEB"/>
    <w:rsid w:val="00471061"/>
    <w:rsid w:val="004A00C9"/>
    <w:rsid w:val="00514CB4"/>
    <w:rsid w:val="00520D98"/>
    <w:rsid w:val="005A22A5"/>
    <w:rsid w:val="005E678F"/>
    <w:rsid w:val="00647C0E"/>
    <w:rsid w:val="006656AE"/>
    <w:rsid w:val="007739CC"/>
    <w:rsid w:val="007B30F3"/>
    <w:rsid w:val="007E2BB6"/>
    <w:rsid w:val="00823AEC"/>
    <w:rsid w:val="008516DE"/>
    <w:rsid w:val="00863120"/>
    <w:rsid w:val="008F1174"/>
    <w:rsid w:val="008F6AFA"/>
    <w:rsid w:val="009255FB"/>
    <w:rsid w:val="009A0F26"/>
    <w:rsid w:val="00A219A0"/>
    <w:rsid w:val="00A60DB6"/>
    <w:rsid w:val="00A6103B"/>
    <w:rsid w:val="00A71C19"/>
    <w:rsid w:val="00AC1CC6"/>
    <w:rsid w:val="00AC2469"/>
    <w:rsid w:val="00AF4274"/>
    <w:rsid w:val="00B01662"/>
    <w:rsid w:val="00B1249C"/>
    <w:rsid w:val="00B50C18"/>
    <w:rsid w:val="00B9552B"/>
    <w:rsid w:val="00BC3821"/>
    <w:rsid w:val="00BE0C3E"/>
    <w:rsid w:val="00C07572"/>
    <w:rsid w:val="00C17C8D"/>
    <w:rsid w:val="00C33F7A"/>
    <w:rsid w:val="00C363F9"/>
    <w:rsid w:val="00C449E0"/>
    <w:rsid w:val="00C82B56"/>
    <w:rsid w:val="00CD55CA"/>
    <w:rsid w:val="00D41957"/>
    <w:rsid w:val="00E3779E"/>
    <w:rsid w:val="00E4679D"/>
    <w:rsid w:val="00E50210"/>
    <w:rsid w:val="00EB2639"/>
    <w:rsid w:val="00EB4068"/>
    <w:rsid w:val="00F15348"/>
    <w:rsid w:val="00F66937"/>
    <w:rsid w:val="00F810B5"/>
    <w:rsid w:val="00FE2C39"/>
    <w:rsid w:val="0EA90A3B"/>
    <w:rsid w:val="19D5DA33"/>
    <w:rsid w:val="1A220796"/>
    <w:rsid w:val="1FBF8E30"/>
    <w:rsid w:val="2BDF0DC0"/>
    <w:rsid w:val="2CD536CB"/>
    <w:rsid w:val="2FF7110D"/>
    <w:rsid w:val="2FFFCED3"/>
    <w:rsid w:val="3F7FB4B5"/>
    <w:rsid w:val="3FAD4D11"/>
    <w:rsid w:val="4FB80849"/>
    <w:rsid w:val="565E2F68"/>
    <w:rsid w:val="5DB7E539"/>
    <w:rsid w:val="66DACB0B"/>
    <w:rsid w:val="697BF56A"/>
    <w:rsid w:val="6B6CE30F"/>
    <w:rsid w:val="6C7F1319"/>
    <w:rsid w:val="6DDF74AC"/>
    <w:rsid w:val="6FAF0D8D"/>
    <w:rsid w:val="6FCFCADC"/>
    <w:rsid w:val="6FFA4FE6"/>
    <w:rsid w:val="730564A2"/>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12"/>
    <w:semiHidden/>
    <w:unhideWhenUsed/>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0"/>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styleId="11">
    <w:name w:val="List Paragraph"/>
    <w:basedOn w:val="1"/>
    <w:unhideWhenUsed/>
    <w:uiPriority w:val="99"/>
    <w:pPr>
      <w:ind w:firstLine="420" w:firstLineChars="200"/>
    </w:pPr>
  </w:style>
  <w:style w:type="character" w:customStyle="1" w:styleId="12">
    <w:name w:val="批注框文本 Char"/>
    <w:basedOn w:val="6"/>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C8476-1AAB-4A83-ACBF-216301D5D72E}">
  <ds:schemaRefs/>
</ds:datastoreItem>
</file>

<file path=docProps/app.xml><?xml version="1.0" encoding="utf-8"?>
<Properties xmlns="http://schemas.openxmlformats.org/officeDocument/2006/extended-properties" xmlns:vt="http://schemas.openxmlformats.org/officeDocument/2006/docPropsVTypes">
  <Template>Normal</Template>
  <Pages>12</Pages>
  <Words>642</Words>
  <Characters>3660</Characters>
  <Lines>30</Lines>
  <Paragraphs>8</Paragraphs>
  <TotalTime>1496</TotalTime>
  <ScaleCrop>false</ScaleCrop>
  <LinksUpToDate>false</LinksUpToDate>
  <CharactersWithSpaces>4294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2024-03-04T07:36:00Z</dcterms:created>
  <dc:creator>null,null,总收发</dc:creator>
  <cp:lastModifiedBy>Administrator</cp:lastModifiedBy>
  <cp:lastPrinted>2024-03-04T08:07:00Z</cp:lastPrinted>
  <dcterms:modified xsi:type="dcterms:W3CDTF">2024-03-06T02:09:38Z</dcterms:modified>
  <dc:title>××年××部门（单位）预算</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