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新埠街道综合行政执法中队单位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美兰区新埠街道综合行政执法中队</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美兰区新埠街道综合行政执法中队2024</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美兰区新埠街道综合行政执法中队2024</w:t>
      </w:r>
      <w:r>
        <w:rPr>
          <w:rFonts w:hint="eastAsia" w:ascii="黑体" w:hAnsi="黑体" w:eastAsia="黑体"/>
          <w:sz w:val="32"/>
          <w:szCs w:val="32"/>
        </w:rPr>
        <w:t>年预算情况说明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美兰区新埠街道综合行政执法中队</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依据相关法律、法规的规定，在辖区范围内开展综合执法工作，具体实施城市管理综合执法事项，包含查处占道经营、随意倾倒垃圾、违规设置户外广告等违反城市管理相关法律法规的违法行为，对影响市容环境卫生的行为进行行政处罚，对违规焚烧行为进行行政处罚。</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（二）负责辖区内重大活动、重要工作的综合执法保障，做好相关应急突发事件处置工作。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（三）对辖区范围内环卫外包公司职责履行情况进行监督检查，配合综合执法局市容环卫所做好对外包企业的考核管理。</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（四）参与辖区内部门联动，配合街道其他职能部门开展联合执法及专项整治工作。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（五）按照市综合执法局美兰分局、美兰区执法大队的统一安排，参与全区重大执法行动。 </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（六）完成市综合执法局美兰分局、美兰区执法大队交办的其他工作。 </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美兰区新埠街道综合行政执法中队2024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800" w:firstLineChars="2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美兰区新埠街道综合行政执法中队2024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美兰区新埠街道综合行政执法中队2024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238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238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238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238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30.52</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24.23</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17.59</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165.66万元、预备费0万元、其他支出0万元、转移性支出0万元、债务还本支出0万元、债务付息支出0万元、债务发行费用支出0万元、抗疫特别国债安排的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美兰区新埠街道综合行政执法中队2024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tabs>
          <w:tab w:val="left" w:pos="2310"/>
        </w:tabs>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22.22</w:t>
      </w:r>
      <w:r>
        <w:rPr>
          <w:rFonts w:hint="eastAsia" w:ascii="仿宋_GB2312" w:hAnsi="黑体" w:eastAsia="仿宋_GB2312"/>
          <w:sz w:val="32"/>
          <w:szCs w:val="32"/>
        </w:rPr>
        <w:t>万元，主要是</w:t>
      </w:r>
      <w:bookmarkStart w:id="0" w:name="_GoBack"/>
      <w:bookmarkEnd w:id="0"/>
      <w:r>
        <w:rPr>
          <w:rFonts w:hint="eastAsia" w:ascii="仿宋_GB2312" w:hAnsi="黑体" w:eastAsia="仿宋_GB2312"/>
          <w:sz w:val="32"/>
          <w:szCs w:val="32"/>
          <w:lang w:eastAsia="zh-CN"/>
        </w:rPr>
        <w:t>社会保障和就业、卫生健康、住房保障、</w:t>
      </w:r>
      <w:r>
        <w:rPr>
          <w:rFonts w:hint="eastAsia" w:ascii="仿宋_GB2312" w:hAnsi="黑体" w:eastAsia="仿宋_GB2312"/>
          <w:sz w:val="32"/>
          <w:szCs w:val="32"/>
          <w:lang w:val="en-US" w:eastAsia="zh-CN"/>
        </w:rPr>
        <w:t>灾害防治及应急管理工作经费拨款增加。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国防（类）支出0万元，占0%；公共安全（类）支出0万元，占0%；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30.52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12.82</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sz w:val="32"/>
          <w:szCs w:val="32"/>
          <w:lang w:val="en-US" w:eastAsia="zh-CN"/>
        </w:rPr>
        <w:t>24.23</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10.18</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sz w:val="32"/>
          <w:szCs w:val="32"/>
          <w:lang w:val="en-US" w:eastAsia="zh-CN"/>
        </w:rPr>
        <w:t>17.59</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7.39</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165.66万元，占69.61%；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numPr>
          <w:ilvl w:val="0"/>
          <w:numId w:val="0"/>
        </w:num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20.35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增加1.72</w:t>
      </w:r>
      <w:r>
        <w:rPr>
          <w:rFonts w:hint="eastAsia" w:ascii="仿宋_GB2312" w:hAnsi="黑体" w:eastAsia="仿宋_GB2312"/>
          <w:sz w:val="32"/>
          <w:szCs w:val="32"/>
        </w:rPr>
        <w:t>万元，</w:t>
      </w:r>
      <w:r>
        <w:rPr>
          <w:rFonts w:hint="eastAsia" w:ascii="仿宋_GB2312" w:hAnsi="黑体" w:eastAsia="仿宋_GB2312"/>
          <w:color w:val="auto"/>
          <w:sz w:val="32"/>
          <w:szCs w:val="32"/>
          <w:lang w:val="en-US" w:eastAsia="zh-CN"/>
        </w:rPr>
        <w:t>主要是2024年社保基数调整，预算数有所增加</w:t>
      </w:r>
      <w:r>
        <w:rPr>
          <w:rFonts w:hint="eastAsia" w:ascii="仿宋_GB2312" w:hAnsi="黑体" w:eastAsia="仿宋_GB2312"/>
          <w:color w:val="auto"/>
          <w:sz w:val="32"/>
          <w:szCs w:val="32"/>
          <w:lang w:eastAsia="zh-CN"/>
        </w:rPr>
        <w:t>。</w:t>
      </w:r>
    </w:p>
    <w:p>
      <w:pPr>
        <w:numPr>
          <w:ilvl w:val="0"/>
          <w:numId w:val="0"/>
        </w:num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olor w:val="000000" w:themeColor="text1"/>
          <w:sz w:val="32"/>
          <w:szCs w:val="32"/>
          <w:lang w:val="en-US" w:eastAsia="zh-CN"/>
          <w14:textFill>
            <w14:solidFill>
              <w14:schemeClr w14:val="tx1"/>
            </w14:solidFill>
          </w14:textFill>
        </w:rPr>
        <w:t>2024年预算数为10.17万元，比上年预算数增加0.86万元，主要是</w:t>
      </w:r>
      <w:r>
        <w:rPr>
          <w:rFonts w:hint="eastAsia" w:ascii="仿宋_GB2312" w:hAnsi="黑体" w:eastAsia="仿宋_GB2312"/>
          <w:color w:val="auto"/>
          <w:sz w:val="32"/>
          <w:szCs w:val="32"/>
          <w:lang w:val="en-US" w:eastAsia="zh-CN"/>
        </w:rPr>
        <w:t>2024年社保基数调整，预算数有所增加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3.卫生健康支出（类）行政事业单位医疗（款）事业单位医疗（项）2024年预算数为9.12万元，比上年预算数增加0.64万元，</w:t>
      </w:r>
      <w:r>
        <w:rPr>
          <w:rFonts w:hint="eastAsia" w:ascii="仿宋_GB2312" w:hAnsi="黑体" w:eastAsia="仿宋_GB2312"/>
          <w:color w:val="auto"/>
          <w:sz w:val="32"/>
          <w:szCs w:val="32"/>
          <w:lang w:val="en-US" w:eastAsia="zh-CN"/>
        </w:rPr>
        <w:t>主要是去年增加了1人退休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olor w:val="000000" w:themeColor="text1"/>
          <w:sz w:val="32"/>
          <w:szCs w:val="32"/>
          <w:lang w:val="en-US" w:eastAsia="zh-CN"/>
          <w14:textFill>
            <w14:solidFill>
              <w14:schemeClr w14:val="tx1"/>
            </w14:solidFill>
          </w14:textFill>
        </w:rPr>
        <w:t>4.卫生健康支出（类）行政事业单位医疗（款）公务员医疗补助（项）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15.1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增加2.04</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auto"/>
          <w:sz w:val="32"/>
          <w:szCs w:val="32"/>
          <w:lang w:val="en-US" w:eastAsia="zh-CN"/>
        </w:rPr>
        <w:t>主要是</w:t>
      </w:r>
      <w:r>
        <w:rPr>
          <w:rFonts w:hint="eastAsia" w:ascii="仿宋_GB2312" w:hAnsi="黑体" w:eastAsia="仿宋_GB2312" w:cs="仿宋_GB2312"/>
          <w:sz w:val="32"/>
          <w:szCs w:val="32"/>
        </w:rPr>
        <w:t>人员工资结构和标准发生变化</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000000" w:themeColor="text1"/>
          <w:sz w:val="32"/>
          <w:szCs w:val="32"/>
          <w:lang w:val="en-US" w:eastAsia="zh-CN"/>
          <w14:textFill>
            <w14:solidFill>
              <w14:schemeClr w14:val="tx1"/>
            </w14:solidFill>
          </w14:textFill>
        </w:rPr>
        <w:t>5.住房保障支出（类）住房改革支出（款）住房公积金（项）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17.59</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增加1.47</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auto"/>
          <w:sz w:val="32"/>
          <w:szCs w:val="32"/>
          <w:lang w:val="en-US" w:eastAsia="zh-CN"/>
        </w:rPr>
        <w:t>主要是公积金基数上调</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olor w:val="000000" w:themeColor="text1"/>
          <w:sz w:val="32"/>
          <w:szCs w:val="32"/>
          <w:lang w:val="en-US" w:eastAsia="zh-CN"/>
          <w14:textFill>
            <w14:solidFill>
              <w14:schemeClr w14:val="tx1"/>
            </w14:solidFill>
          </w14:textFill>
        </w:rPr>
        <w:t>灾害防治及应急管理支出（类）应急管理事务（款）事业运行（项）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149.71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增加15.95</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auto"/>
          <w:sz w:val="32"/>
          <w:szCs w:val="32"/>
          <w:lang w:val="en-US" w:eastAsia="zh-CN"/>
        </w:rPr>
        <w:t>主要是人员基本工资正常调资</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美兰区新埠街道综合行政执法中队2024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人员经费222.23万元，主要包括：基本工资、津贴补贴、绩效工资</w:t>
      </w:r>
      <w:r>
        <w:rPr>
          <w:rFonts w:hint="eastAsia" w:ascii="仿宋_GB2312" w:hAnsi="黑体" w:eastAsia="仿宋_GB2312"/>
          <w:sz w:val="32"/>
          <w:szCs w:val="32"/>
          <w:lang w:eastAsia="zh-CN"/>
        </w:rPr>
        <w:t>、机关事业单位基本养老保险缴费、职业年金缴费、职工基本医疗保险缴费、公务员医疗补助缴费、</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15.77</w:t>
      </w:r>
      <w:r>
        <w:rPr>
          <w:rFonts w:hint="eastAsia" w:ascii="仿宋_GB2312" w:hAnsi="黑体" w:eastAsia="仿宋_GB2312"/>
          <w:sz w:val="32"/>
          <w:szCs w:val="32"/>
        </w:rPr>
        <w:t>万元，主要包括：办公费、印刷费</w:t>
      </w:r>
      <w:r>
        <w:rPr>
          <w:rFonts w:hint="eastAsia" w:ascii="仿宋_GB2312" w:hAnsi="黑体" w:eastAsia="仿宋_GB2312"/>
          <w:sz w:val="32"/>
          <w:szCs w:val="32"/>
          <w:lang w:eastAsia="zh-CN"/>
        </w:rPr>
        <w:t>、租赁费、</w:t>
      </w:r>
      <w:r>
        <w:rPr>
          <w:rFonts w:hint="eastAsia" w:ascii="仿宋_GB2312" w:hAnsi="黑体" w:eastAsia="仿宋_GB2312"/>
          <w:sz w:val="32"/>
          <w:szCs w:val="32"/>
        </w:rPr>
        <w:t>电费</w:t>
      </w:r>
      <w:r>
        <w:rPr>
          <w:rFonts w:hint="eastAsia" w:ascii="仿宋_GB2312" w:hAnsi="黑体" w:eastAsia="仿宋_GB2312"/>
          <w:sz w:val="32"/>
          <w:szCs w:val="32"/>
          <w:lang w:eastAsia="zh-CN"/>
        </w:rPr>
        <w:t>、工会经费、</w:t>
      </w:r>
      <w:r>
        <w:rPr>
          <w:rFonts w:hint="eastAsia" w:ascii="仿宋_GB2312" w:hAnsi="黑体" w:eastAsia="仿宋_GB2312"/>
          <w:sz w:val="32"/>
          <w:szCs w:val="32"/>
        </w:rPr>
        <w:t>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美兰区新埠街道综合行政执法中队2024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lang w:val="en-US" w:eastAsia="zh-CN"/>
        </w:rPr>
        <w:t>2024</w:t>
      </w:r>
      <w:r>
        <w:rPr>
          <w:rFonts w:hint="eastAsia" w:ascii="Times New Roman" w:hAnsi="Times New Roman" w:eastAsia="仿宋_GB2312" w:cs="仿宋_GB2312"/>
          <w:sz w:val="32"/>
          <w:szCs w:val="32"/>
          <w:shd w:val="clear" w:color="auto" w:fill="FFFFFF"/>
        </w:rPr>
        <w:t>年无因公出国计划。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仿宋_GB2312" w:hAnsi="黑体" w:eastAsia="仿宋_GB2312"/>
          <w:sz w:val="32"/>
          <w:szCs w:val="32"/>
          <w:lang w:val="en-US" w:eastAsia="zh-CN"/>
        </w:rPr>
        <w:t>2024</w:t>
      </w:r>
      <w:r>
        <w:rPr>
          <w:rFonts w:hint="eastAsia" w:ascii="Times New Roman" w:hAnsi="Times New Roman" w:eastAsia="仿宋_GB2312" w:cs="Times New Roman"/>
          <w:sz w:val="32"/>
          <w:shd w:val="clear" w:color="auto" w:fill="FFFFFF"/>
        </w:rPr>
        <w:t>年</w:t>
      </w:r>
      <w:r>
        <w:rPr>
          <w:rFonts w:hint="eastAsia" w:ascii="Times New Roman" w:hAnsi="Times New Roman" w:eastAsia="仿宋_GB2312" w:cs="仿宋_GB2312"/>
          <w:sz w:val="32"/>
          <w:szCs w:val="32"/>
          <w:shd w:val="clear" w:color="auto" w:fill="FFFFFF"/>
        </w:rPr>
        <w:t>无因公出国计划</w:t>
      </w:r>
      <w:r>
        <w:rPr>
          <w:rFonts w:hint="eastAsia" w:eastAsia="仿宋_GB2312" w:cs="仿宋_GB2312"/>
          <w:sz w:val="32"/>
          <w:szCs w:val="32"/>
          <w:shd w:val="clear" w:color="auto" w:fill="FFFFFF"/>
          <w:lang w:val="en-US" w:eastAsia="zh-CN"/>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美兰区新埠街道综合行政执法中队2024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无此类情况</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无此类情况</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美兰区新埠街道综合行政执法中队2024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美兰区新埠街道综合行政执法中队2024年</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社会保障和就业支出、卫生健康支出、住房保障支出、 灾害防治及应急管理支出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美兰区新埠街道综合行政执法中队2024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一般公共预算拨款收入</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22.22万元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一般公共预算</w:t>
      </w:r>
      <w:r>
        <w:rPr>
          <w:rFonts w:hint="eastAsia" w:ascii="仿宋_GB2312" w:hAnsi="黑体" w:eastAsia="仿宋_GB2312"/>
          <w:sz w:val="32"/>
          <w:szCs w:val="32"/>
          <w:lang w:val="en-US" w:eastAsia="zh-CN"/>
        </w:rPr>
        <w:t>收入的增加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美兰区新埠街道综合行政执法中队2024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22.22</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人员和公用经费的工作需要增加</w:t>
      </w:r>
      <w:r>
        <w:rPr>
          <w:rFonts w:hint="eastAsia" w:ascii="仿宋_GB2312" w:hAnsi="黑体" w:eastAsia="仿宋_GB2312"/>
          <w:color w:val="auto"/>
          <w:sz w:val="32"/>
          <w:szCs w:val="32"/>
          <w:lang w:val="en-US" w:eastAsia="zh-CN"/>
        </w:rPr>
        <w:t>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无此类情况</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新埠</w:t>
      </w:r>
      <w:r>
        <w:rPr>
          <w:rFonts w:hint="eastAsia" w:ascii="仿宋_GB2312" w:hAnsi="黑体" w:eastAsia="仿宋_GB2312" w:cs="仿宋_GB2312"/>
          <w:sz w:val="32"/>
          <w:szCs w:val="32"/>
        </w:rPr>
        <w:t>街道</w:t>
      </w:r>
      <w:r>
        <w:rPr>
          <w:rFonts w:hint="eastAsia" w:ascii="仿宋_GB2312" w:hAnsi="黑体" w:eastAsia="仿宋_GB2312" w:cs="仿宋_GB2312"/>
          <w:sz w:val="32"/>
          <w:szCs w:val="32"/>
          <w:lang w:eastAsia="zh-CN"/>
        </w:rPr>
        <w:t>综合行政执法中队</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新</w:t>
      </w:r>
      <w:r>
        <w:rPr>
          <w:rFonts w:hint="eastAsia" w:ascii="仿宋_GB2312" w:hAnsi="黑体" w:eastAsia="仿宋_GB2312" w:cs="仿宋_GB2312"/>
          <w:sz w:val="32"/>
          <w:szCs w:val="32"/>
          <w:lang w:val="en-US" w:eastAsia="zh-CN"/>
        </w:rPr>
        <w:t>埠</w:t>
      </w:r>
      <w:r>
        <w:rPr>
          <w:rFonts w:hint="eastAsia" w:ascii="仿宋_GB2312" w:hAnsi="黑体" w:eastAsia="仿宋_GB2312" w:cs="仿宋_GB2312"/>
          <w:sz w:val="32"/>
          <w:szCs w:val="32"/>
        </w:rPr>
        <w:t>街道</w:t>
      </w:r>
      <w:r>
        <w:rPr>
          <w:rFonts w:hint="eastAsia" w:ascii="仿宋_GB2312" w:hAnsi="黑体" w:eastAsia="仿宋_GB2312" w:cs="仿宋_GB2312"/>
          <w:sz w:val="32"/>
          <w:szCs w:val="32"/>
          <w:lang w:eastAsia="zh-CN"/>
        </w:rPr>
        <w:t>综合行政执法中队</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美兰区新埠街道综合行政执法中队10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238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B6E7E"/>
    <w:rsid w:val="00381B31"/>
    <w:rsid w:val="01461016"/>
    <w:rsid w:val="01683E98"/>
    <w:rsid w:val="016F2BF3"/>
    <w:rsid w:val="01964006"/>
    <w:rsid w:val="025F663C"/>
    <w:rsid w:val="0583249D"/>
    <w:rsid w:val="06D71050"/>
    <w:rsid w:val="071F6151"/>
    <w:rsid w:val="07CE07AA"/>
    <w:rsid w:val="083976C2"/>
    <w:rsid w:val="085000DD"/>
    <w:rsid w:val="08F56743"/>
    <w:rsid w:val="09BD0A4E"/>
    <w:rsid w:val="0A0A502B"/>
    <w:rsid w:val="0A3131FC"/>
    <w:rsid w:val="0A7F76C6"/>
    <w:rsid w:val="0A8B1A4B"/>
    <w:rsid w:val="0B024E69"/>
    <w:rsid w:val="0B735222"/>
    <w:rsid w:val="0C6847D8"/>
    <w:rsid w:val="0CCE3B4A"/>
    <w:rsid w:val="0D6A5271"/>
    <w:rsid w:val="0D7D0A7B"/>
    <w:rsid w:val="0DA41150"/>
    <w:rsid w:val="0DC26BEF"/>
    <w:rsid w:val="0E4677F8"/>
    <w:rsid w:val="0E6935F6"/>
    <w:rsid w:val="0EAD1D8C"/>
    <w:rsid w:val="0EF33EBB"/>
    <w:rsid w:val="0FFE414C"/>
    <w:rsid w:val="12093276"/>
    <w:rsid w:val="13931304"/>
    <w:rsid w:val="14432D07"/>
    <w:rsid w:val="14F76B3B"/>
    <w:rsid w:val="15256E51"/>
    <w:rsid w:val="15900182"/>
    <w:rsid w:val="17255839"/>
    <w:rsid w:val="17FD30D1"/>
    <w:rsid w:val="19463A50"/>
    <w:rsid w:val="19534FCC"/>
    <w:rsid w:val="1ABC4000"/>
    <w:rsid w:val="1ADC1F00"/>
    <w:rsid w:val="1B3A37B0"/>
    <w:rsid w:val="1B3F36D2"/>
    <w:rsid w:val="1C300BEC"/>
    <w:rsid w:val="1C41134D"/>
    <w:rsid w:val="1D700778"/>
    <w:rsid w:val="1F9252BE"/>
    <w:rsid w:val="20A22103"/>
    <w:rsid w:val="20DB66ED"/>
    <w:rsid w:val="226F238F"/>
    <w:rsid w:val="227907F4"/>
    <w:rsid w:val="22C91718"/>
    <w:rsid w:val="24137774"/>
    <w:rsid w:val="24EF3C7B"/>
    <w:rsid w:val="2523090E"/>
    <w:rsid w:val="25AF4837"/>
    <w:rsid w:val="26E313C3"/>
    <w:rsid w:val="28D51A7C"/>
    <w:rsid w:val="29A80C67"/>
    <w:rsid w:val="2ADA09DB"/>
    <w:rsid w:val="2BE83A72"/>
    <w:rsid w:val="2C7A5189"/>
    <w:rsid w:val="2C7E29C6"/>
    <w:rsid w:val="2D954437"/>
    <w:rsid w:val="2DA862D8"/>
    <w:rsid w:val="2DD57B15"/>
    <w:rsid w:val="2E583FDB"/>
    <w:rsid w:val="2E835754"/>
    <w:rsid w:val="2EA22F02"/>
    <w:rsid w:val="2F353EDF"/>
    <w:rsid w:val="2F552DDA"/>
    <w:rsid w:val="31AE3DCD"/>
    <w:rsid w:val="31F34B7A"/>
    <w:rsid w:val="3289725D"/>
    <w:rsid w:val="333009F5"/>
    <w:rsid w:val="340A1270"/>
    <w:rsid w:val="35095BFF"/>
    <w:rsid w:val="36583A2D"/>
    <w:rsid w:val="366E7171"/>
    <w:rsid w:val="383F4CF5"/>
    <w:rsid w:val="38557D1E"/>
    <w:rsid w:val="38C30958"/>
    <w:rsid w:val="3A374BD1"/>
    <w:rsid w:val="3A5E70C3"/>
    <w:rsid w:val="3AA02E84"/>
    <w:rsid w:val="3B537E15"/>
    <w:rsid w:val="3DD31C1D"/>
    <w:rsid w:val="3F0F723C"/>
    <w:rsid w:val="405773BD"/>
    <w:rsid w:val="4079727C"/>
    <w:rsid w:val="41143301"/>
    <w:rsid w:val="41A116B4"/>
    <w:rsid w:val="427B2AC6"/>
    <w:rsid w:val="42F546FB"/>
    <w:rsid w:val="43340556"/>
    <w:rsid w:val="43CB7599"/>
    <w:rsid w:val="441B5CAF"/>
    <w:rsid w:val="450D6198"/>
    <w:rsid w:val="46076B21"/>
    <w:rsid w:val="47191865"/>
    <w:rsid w:val="47AF0C57"/>
    <w:rsid w:val="492B7D6A"/>
    <w:rsid w:val="49425A26"/>
    <w:rsid w:val="49CB6E7E"/>
    <w:rsid w:val="4AE5287C"/>
    <w:rsid w:val="4B1575E0"/>
    <w:rsid w:val="4B212FA6"/>
    <w:rsid w:val="4B853D3C"/>
    <w:rsid w:val="4BCA7806"/>
    <w:rsid w:val="4BFD0AA6"/>
    <w:rsid w:val="4CCF0E1C"/>
    <w:rsid w:val="4E2C6E48"/>
    <w:rsid w:val="4EE15C86"/>
    <w:rsid w:val="4F1A5668"/>
    <w:rsid w:val="509D3EA8"/>
    <w:rsid w:val="50C31C4D"/>
    <w:rsid w:val="513863AE"/>
    <w:rsid w:val="51AD1E4A"/>
    <w:rsid w:val="520017FF"/>
    <w:rsid w:val="52115469"/>
    <w:rsid w:val="52DA4B80"/>
    <w:rsid w:val="54CA42F6"/>
    <w:rsid w:val="55913545"/>
    <w:rsid w:val="55975300"/>
    <w:rsid w:val="56524410"/>
    <w:rsid w:val="566B7A93"/>
    <w:rsid w:val="56D76DA8"/>
    <w:rsid w:val="56E16648"/>
    <w:rsid w:val="56F71965"/>
    <w:rsid w:val="579A4402"/>
    <w:rsid w:val="58BF5129"/>
    <w:rsid w:val="59176B21"/>
    <w:rsid w:val="59F42C70"/>
    <w:rsid w:val="5A847247"/>
    <w:rsid w:val="5C156DFC"/>
    <w:rsid w:val="5C2B22AB"/>
    <w:rsid w:val="5E7B347A"/>
    <w:rsid w:val="5EDA142E"/>
    <w:rsid w:val="5FA92FC3"/>
    <w:rsid w:val="60093983"/>
    <w:rsid w:val="60143EEC"/>
    <w:rsid w:val="60455AB5"/>
    <w:rsid w:val="60BA1EB1"/>
    <w:rsid w:val="621A58B4"/>
    <w:rsid w:val="631F341B"/>
    <w:rsid w:val="6361380C"/>
    <w:rsid w:val="63BB4990"/>
    <w:rsid w:val="644D41C7"/>
    <w:rsid w:val="65B4462B"/>
    <w:rsid w:val="667B1085"/>
    <w:rsid w:val="673A36CE"/>
    <w:rsid w:val="67B5553B"/>
    <w:rsid w:val="687F11D1"/>
    <w:rsid w:val="69C92E6D"/>
    <w:rsid w:val="6A602698"/>
    <w:rsid w:val="6B856D96"/>
    <w:rsid w:val="6D0424E1"/>
    <w:rsid w:val="6D70539E"/>
    <w:rsid w:val="6D714C65"/>
    <w:rsid w:val="6D9B64E7"/>
    <w:rsid w:val="6DBF5A09"/>
    <w:rsid w:val="6E333B88"/>
    <w:rsid w:val="6E714CBC"/>
    <w:rsid w:val="6EA34FF0"/>
    <w:rsid w:val="6EB50489"/>
    <w:rsid w:val="6EB73097"/>
    <w:rsid w:val="6F666830"/>
    <w:rsid w:val="6FE20C0A"/>
    <w:rsid w:val="723A5618"/>
    <w:rsid w:val="72E51FFE"/>
    <w:rsid w:val="73C9241E"/>
    <w:rsid w:val="73CB0973"/>
    <w:rsid w:val="74E974EB"/>
    <w:rsid w:val="752C17F3"/>
    <w:rsid w:val="75671FE3"/>
    <w:rsid w:val="758F18FF"/>
    <w:rsid w:val="76931DFC"/>
    <w:rsid w:val="77941681"/>
    <w:rsid w:val="784405C2"/>
    <w:rsid w:val="790D5E3B"/>
    <w:rsid w:val="7A4B025D"/>
    <w:rsid w:val="7B7F1323"/>
    <w:rsid w:val="7CC94B3A"/>
    <w:rsid w:val="7E3D6BB6"/>
    <w:rsid w:val="7E5858F5"/>
    <w:rsid w:val="7E723674"/>
    <w:rsid w:val="7E9A2752"/>
    <w:rsid w:val="7F171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2024-02-23T01:12:00Z</dcterms:created>
  <dc:creator>Administrator</dc:creator>
  <cp:lastModifiedBy>Administrator</cp:lastModifiedBy>
  <dcterms:modified xsi:type="dcterms:W3CDTF">2024-02-27T06:53:51Z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