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新埠街道办事处部门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新埠街道</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w:t>
      </w:r>
      <w:r>
        <w:rPr>
          <w:rFonts w:hint="eastAsia" w:ascii="黑体" w:hAnsi="黑体" w:eastAsia="黑体"/>
          <w:sz w:val="32"/>
          <w:szCs w:val="32"/>
          <w:lang w:eastAsia="zh-CN"/>
        </w:rPr>
        <w:t>部门</w:t>
      </w:r>
      <w:r>
        <w:rPr>
          <w:rFonts w:hint="eastAsia" w:ascii="黑体" w:hAnsi="黑体" w:eastAsia="黑体"/>
          <w:sz w:val="32"/>
          <w:szCs w:val="32"/>
        </w:rPr>
        <w:t>构成（</w:t>
      </w:r>
      <w:r>
        <w:rPr>
          <w:rFonts w:hint="eastAsia" w:ascii="黑体" w:hAnsi="黑体" w:eastAsia="黑体"/>
          <w:sz w:val="32"/>
          <w:szCs w:val="32"/>
          <w:lang w:eastAsia="zh-CN"/>
        </w:rPr>
        <w:t>部门</w:t>
      </w:r>
      <w:r>
        <w:rPr>
          <w:rFonts w:hint="eastAsia" w:ascii="黑体" w:hAnsi="黑体" w:eastAsia="黑体"/>
          <w:sz w:val="32"/>
          <w:szCs w:val="32"/>
        </w:rPr>
        <w:t>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新埠街道2024</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新埠街道</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新埠街道</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街道办事处是区人民政府的派出机关，在街道党工委的领导下，依据法律、法规和规章的规定，行使行政管理职责，负责本辖区各项行政管理工作，主要职责：</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（一）贯彻执行党的路线方针政策、国家法律法规及上级机关的决定和命令。</w:t>
      </w:r>
    </w:p>
    <w:p>
      <w:pPr>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（二）负责基层党组织建设工作，指导和帮助社区居委会开展工作，发挥社区居委会的群众自治组织作用。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（三）负责精神文明建设工作，组织开展多种形式的群众性精神文明建设创建活动，构建和谐文化，培育文明风尚。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（四）负责制定社会管理规划，加强社会管理综合治理工作。妥善处理突发性、群体性事件，及时化解社会矛盾，维护居民的合法权益，维护辖区社会和谐稳定。</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（五）负责辖区内人口与计划生育、安全生产、征兵、民兵预备役、人民防空、企事业退休人员及自主择业军转干部社会化管理等工作。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（六）负责牵头协调各职能部门派驻在街道的机构，共同处 理地区性、综合性社会管理事务。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（七）按照职责范围，开展辖区内的市容环境卫生、园林绿化、门前三包、环境保护、市政、爱国卫生等监督、管理、服务工作。</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（八）协助有关部门对违法建设、违法占用道路、无照经营以及违反市容环境卫生、绿化管理、环境保护等规定行为进行查处。</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（九）协助有关部门做好劳动就业、社会保障、拥军优属、优抚安置、社会救济、社会福利、卫生保健、统计、侨务、民族宗教事务、食品安全、交通安全、质量监督、“三防”等工作。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（十）参与城市建设、危房改造及住宅小区的管理工作。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（十一）向区人民政府反映居民群众的意见和要求，办理人民群众来信来访事项。 </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（十二）承办区委、区政府和上级部门交办的其他事项。</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w:t>
      </w:r>
      <w:r>
        <w:rPr>
          <w:rFonts w:hint="eastAsia" w:ascii="黑体" w:hAnsi="黑体" w:eastAsia="黑体" w:cs="仿宋_GB2312"/>
          <w:sz w:val="32"/>
          <w:szCs w:val="32"/>
          <w:lang w:eastAsia="zh-CN"/>
        </w:rPr>
        <w:t>部门</w:t>
      </w:r>
      <w:r>
        <w:rPr>
          <w:rFonts w:hint="eastAsia" w:ascii="黑体" w:hAnsi="黑体" w:eastAsia="黑体" w:cs="仿宋_GB2312"/>
          <w:sz w:val="32"/>
          <w:szCs w:val="32"/>
        </w:rPr>
        <w:t>构成（</w:t>
      </w:r>
      <w:r>
        <w:rPr>
          <w:rFonts w:hint="eastAsia" w:ascii="黑体" w:hAnsi="黑体" w:eastAsia="黑体" w:cs="仿宋_GB2312"/>
          <w:sz w:val="32"/>
          <w:szCs w:val="32"/>
          <w:lang w:eastAsia="zh-CN"/>
        </w:rPr>
        <w:t>部门</w:t>
      </w:r>
      <w:r>
        <w:rPr>
          <w:rFonts w:hint="eastAsia" w:ascii="黑体" w:hAnsi="黑体" w:eastAsia="黑体" w:cs="仿宋_GB2312"/>
          <w:sz w:val="32"/>
          <w:szCs w:val="32"/>
        </w:rPr>
        <w:t>公开没有此部分内容）</w:t>
      </w:r>
    </w:p>
    <w:p>
      <w:pPr>
        <w:ind w:firstLine="640" w:firstLineChars="200"/>
        <w:rPr>
          <w:rFonts w:hint="eastAsia" w:ascii="仿宋_GB2312" w:hAnsi="黑体" w:eastAsia="仿宋_GB2312" w:cs="仿宋_GB2312"/>
          <w:sz w:val="32"/>
          <w:szCs w:val="32"/>
          <w:lang w:val="en-US" w:eastAsia="zh-CN"/>
        </w:rPr>
      </w:pPr>
      <w:r>
        <w:rPr>
          <w:rFonts w:hint="eastAsia" w:ascii="黑体" w:hAnsi="黑体" w:eastAsia="黑体" w:cs="仿宋_GB2312"/>
          <w:sz w:val="32"/>
          <w:szCs w:val="32"/>
          <w:lang w:val="en-US" w:eastAsia="zh-CN"/>
        </w:rPr>
        <w:t xml:space="preserve">   </w:t>
      </w:r>
      <w:r>
        <w:rPr>
          <w:rFonts w:hint="eastAsia" w:ascii="仿宋_GB2312" w:hAnsi="黑体" w:eastAsia="仿宋_GB2312" w:cs="仿宋_GB2312"/>
          <w:sz w:val="32"/>
          <w:szCs w:val="32"/>
          <w:lang w:val="en-US" w:eastAsia="zh-CN"/>
        </w:rPr>
        <w:t>纳入美兰区新埠街道办2024年部门预算编制范围的二级预算部门包括：</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1.海口市新埠街道（本级）</w:t>
      </w:r>
    </w:p>
    <w:p>
      <w:pPr>
        <w:numPr>
          <w:ilvl w:val="0"/>
          <w:numId w:val="0"/>
        </w:numPr>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2.海口市美兰区新埠街道社会事务综合服务中心</w:t>
      </w:r>
    </w:p>
    <w:p>
      <w:pPr>
        <w:numPr>
          <w:ilvl w:val="0"/>
          <w:numId w:val="6"/>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海口市美兰区新埠街道综合行政执法中队</w:t>
      </w:r>
    </w:p>
    <w:p>
      <w:pPr>
        <w:widowControl w:val="0"/>
        <w:numPr>
          <w:ilvl w:val="0"/>
          <w:numId w:val="0"/>
        </w:numPr>
        <w:jc w:val="both"/>
        <w:rPr>
          <w:rFonts w:hint="eastAsia" w:ascii="仿宋_GB2312" w:hAnsi="黑体" w:eastAsia="仿宋_GB2312" w:cs="仿宋_GB2312"/>
          <w:sz w:val="32"/>
          <w:szCs w:val="32"/>
          <w:lang w:val="en-US" w:eastAsia="zh-CN"/>
        </w:rPr>
      </w:pPr>
    </w:p>
    <w:p>
      <w:pPr>
        <w:widowControl w:val="0"/>
        <w:numPr>
          <w:ilvl w:val="0"/>
          <w:numId w:val="0"/>
        </w:numPr>
        <w:jc w:val="both"/>
        <w:rPr>
          <w:rFonts w:hint="eastAsia" w:ascii="仿宋_GB2312" w:hAnsi="黑体" w:eastAsia="仿宋_GB2312" w:cs="仿宋_GB2312"/>
          <w:sz w:val="32"/>
          <w:szCs w:val="32"/>
          <w:lang w:val="en-US" w:eastAsia="zh-CN"/>
        </w:rPr>
      </w:pPr>
    </w:p>
    <w:p>
      <w:pPr>
        <w:widowControl w:val="0"/>
        <w:numPr>
          <w:ilvl w:val="0"/>
          <w:numId w:val="0"/>
        </w:numPr>
        <w:jc w:val="both"/>
        <w:rPr>
          <w:rFonts w:hint="eastAsia" w:ascii="仿宋_GB2312" w:hAnsi="黑体" w:eastAsia="仿宋_GB2312" w:cs="仿宋_GB2312"/>
          <w:sz w:val="32"/>
          <w:szCs w:val="32"/>
          <w:lang w:val="en-US" w:eastAsia="zh-CN"/>
        </w:rPr>
      </w:pPr>
    </w:p>
    <w:p>
      <w:pPr>
        <w:widowControl w:val="0"/>
        <w:numPr>
          <w:ilvl w:val="0"/>
          <w:numId w:val="0"/>
        </w:numPr>
        <w:jc w:val="both"/>
        <w:rPr>
          <w:rFonts w:hint="eastAsia" w:ascii="仿宋_GB2312" w:hAnsi="黑体" w:eastAsia="仿宋_GB2312" w:cs="仿宋_GB2312"/>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新埠街道2024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部门</w:t>
      </w:r>
      <w:r>
        <w:rPr>
          <w:rFonts w:hint="eastAsia" w:ascii="仿宋_GB2312" w:hAnsi="黑体" w:eastAsia="仿宋_GB2312"/>
          <w:b/>
          <w:sz w:val="32"/>
          <w:szCs w:val="32"/>
        </w:rPr>
        <w:t>预算公开表）</w:t>
      </w:r>
    </w:p>
    <w:p>
      <w:pPr>
        <w:rPr>
          <w:rFonts w:ascii="黑体" w:hAnsi="黑体" w:eastAsia="黑体"/>
          <w:sz w:val="32"/>
          <w:szCs w:val="32"/>
        </w:rPr>
      </w:pPr>
    </w:p>
    <w:p>
      <w:pPr>
        <w:ind w:firstLine="800" w:firstLineChars="2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新埠街道2024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新埠街道2024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2462.30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2462.30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2263.92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78.76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99.62</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2462.30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350.73</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0万元、科学技术支出0万元、文化旅游体育与传媒支出22.12万元、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1474.82</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174.05</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城乡社区支出163.31</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12</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77.02</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170.85万元、预备费0万元、其他支出0万元、转移性支出0万元、债务还本支出0万元、债务付息支出0万元、债务发行费用支出0万元、抗疫特别国债安排的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新埠街道2024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tabs>
          <w:tab w:val="left" w:pos="2310"/>
        </w:tabs>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2342.68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减少74.07</w:t>
      </w:r>
      <w:r>
        <w:rPr>
          <w:rFonts w:hint="eastAsia" w:ascii="仿宋_GB2312" w:hAnsi="黑体" w:eastAsia="仿宋_GB2312"/>
          <w:sz w:val="32"/>
          <w:szCs w:val="32"/>
        </w:rPr>
        <w:t>万元，主要是一般公共服务支出</w:t>
      </w:r>
      <w:r>
        <w:rPr>
          <w:rFonts w:hint="eastAsia" w:ascii="仿宋_GB2312" w:hAnsi="黑体" w:eastAsia="仿宋_GB2312"/>
          <w:sz w:val="32"/>
          <w:szCs w:val="32"/>
          <w:lang w:eastAsia="zh-CN"/>
        </w:rPr>
        <w:t>、 卫生健康支出</w:t>
      </w:r>
      <w:r>
        <w:rPr>
          <w:rFonts w:hint="eastAsia" w:ascii="仿宋_GB2312" w:hAnsi="黑体" w:eastAsia="仿宋_GB2312"/>
          <w:sz w:val="32"/>
          <w:szCs w:val="32"/>
          <w:lang w:val="en-US" w:eastAsia="zh-CN"/>
        </w:rPr>
        <w:t>工作经费拨款减少。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一般公共服务（类）支出350.73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14.97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国防（类）支出8万元，占0.34%；公共安全（类）支出8.4万元，占0.36%；</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文化旅游体育与传媒（类）支出22.12万元，占0.94%；</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1474.82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62.95</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sz w:val="32"/>
          <w:szCs w:val="32"/>
          <w:lang w:val="en-US" w:eastAsia="zh-CN"/>
        </w:rPr>
        <w:t>174.05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7.43</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43.68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1.86</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0.51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0.04</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sz w:val="32"/>
          <w:szCs w:val="32"/>
          <w:lang w:val="en-US" w:eastAsia="zh-CN"/>
        </w:rPr>
        <w:t>77.02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3.29</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170.85万元，占7.29%；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numPr>
          <w:ilvl w:val="0"/>
          <w:numId w:val="7"/>
        </w:numPr>
        <w:ind w:firstLine="640"/>
        <w:jc w:val="left"/>
        <w:rPr>
          <w:rFonts w:hint="eastAsia" w:ascii="楷体" w:hAnsi="楷体" w:eastAsia="楷体"/>
          <w:color w:val="auto"/>
          <w:sz w:val="32"/>
          <w:szCs w:val="32"/>
        </w:rPr>
      </w:pPr>
      <w:r>
        <w:rPr>
          <w:rFonts w:hint="eastAsia" w:ascii="楷体" w:hAnsi="楷体" w:eastAsia="楷体"/>
          <w:color w:val="auto"/>
          <w:sz w:val="32"/>
          <w:szCs w:val="32"/>
        </w:rPr>
        <w:t>一般公共预算当年拨款具体使用情况</w:t>
      </w:r>
    </w:p>
    <w:p>
      <w:pPr>
        <w:numPr>
          <w:ilvl w:val="0"/>
          <w:numId w:val="0"/>
        </w:numPr>
        <w:jc w:val="left"/>
        <w:rPr>
          <w:rFonts w:hint="eastAsia" w:ascii="楷体" w:hAnsi="楷体" w:eastAsia="楷体"/>
          <w:color w:val="0000FF"/>
          <w:sz w:val="32"/>
          <w:szCs w:val="32"/>
          <w:lang w:val="en-US" w:eastAsia="zh-CN"/>
        </w:rPr>
      </w:pPr>
      <w:r>
        <w:rPr>
          <w:rFonts w:hint="eastAsia" w:ascii="楷体" w:hAnsi="楷体" w:eastAsia="楷体"/>
          <w:color w:val="0000FF"/>
          <w:sz w:val="32"/>
          <w:szCs w:val="32"/>
          <w:lang w:val="en-US" w:eastAsia="zh-CN"/>
        </w:rPr>
        <w:t xml:space="preserve">    </w:t>
      </w:r>
      <w:r>
        <w:rPr>
          <w:rFonts w:hint="eastAsia" w:ascii="仿宋_GB2312" w:hAnsi="黑体" w:eastAsia="仿宋_GB2312" w:cs="仿宋_GB2312"/>
          <w:color w:val="auto"/>
          <w:sz w:val="32"/>
          <w:szCs w:val="32"/>
          <w:lang w:val="en-US" w:eastAsia="zh-CN"/>
        </w:rPr>
        <w:t>1.一般公共服务支出</w:t>
      </w:r>
      <w:r>
        <w:rPr>
          <w:rFonts w:hint="eastAsia" w:ascii="仿宋_GB2312" w:hAnsi="黑体" w:eastAsia="仿宋_GB2312" w:cs="仿宋_GB2312"/>
          <w:color w:val="auto"/>
          <w:sz w:val="32"/>
          <w:szCs w:val="32"/>
        </w:rPr>
        <w:t>（类）人大事务（款）一般行政管理事务（项）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比上年预算数增加1万元，主要是</w:t>
      </w:r>
      <w:r>
        <w:rPr>
          <w:rFonts w:hint="eastAsia" w:ascii="仿宋_GB2312" w:hAnsi="黑体" w:eastAsia="仿宋_GB2312" w:cs="仿宋_GB2312"/>
          <w:sz w:val="32"/>
          <w:szCs w:val="32"/>
        </w:rPr>
        <w:t>人大</w:t>
      </w:r>
      <w:r>
        <w:rPr>
          <w:rFonts w:hint="eastAsia" w:ascii="仿宋_GB2312" w:hAnsi="黑体" w:eastAsia="仿宋_GB2312" w:cs="仿宋_GB2312"/>
          <w:color w:val="auto"/>
          <w:sz w:val="32"/>
          <w:szCs w:val="32"/>
        </w:rPr>
        <w:t>一般行政管理事务</w:t>
      </w:r>
      <w:r>
        <w:rPr>
          <w:rFonts w:hint="eastAsia" w:ascii="仿宋_GB2312" w:hAnsi="黑体" w:eastAsia="仿宋_GB2312" w:cs="仿宋_GB2312"/>
          <w:sz w:val="32"/>
          <w:szCs w:val="32"/>
        </w:rPr>
        <w:t>工作经费的增加。</w:t>
      </w:r>
    </w:p>
    <w:p>
      <w:pPr>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color w:val="auto"/>
          <w:sz w:val="32"/>
          <w:szCs w:val="32"/>
          <w:lang w:val="en-US" w:eastAsia="zh-CN"/>
        </w:rPr>
        <w:t>2.一般公共服务支出</w:t>
      </w:r>
      <w:r>
        <w:rPr>
          <w:rFonts w:hint="eastAsia" w:ascii="仿宋_GB2312" w:hAnsi="黑体" w:eastAsia="仿宋_GB2312" w:cs="仿宋_GB2312"/>
          <w:color w:val="auto"/>
          <w:sz w:val="32"/>
          <w:szCs w:val="32"/>
        </w:rPr>
        <w:t>（类）人大事务（款）代表工作（项）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5.7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比上年预算数增加4.7万元，主要是</w:t>
      </w:r>
      <w:r>
        <w:rPr>
          <w:rFonts w:hint="eastAsia" w:ascii="仿宋_GB2312" w:hAnsi="黑体" w:eastAsia="仿宋_GB2312" w:cs="仿宋_GB2312"/>
          <w:sz w:val="32"/>
          <w:szCs w:val="32"/>
        </w:rPr>
        <w:t>人大代表小组工作经费的增加。</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s="仿宋_GB2312"/>
          <w:color w:val="auto"/>
          <w:sz w:val="32"/>
          <w:szCs w:val="32"/>
          <w:lang w:val="en-US" w:eastAsia="zh-CN"/>
        </w:rPr>
        <w:t>一般公共服务支出</w:t>
      </w:r>
      <w:r>
        <w:rPr>
          <w:rFonts w:hint="eastAsia" w:ascii="仿宋_GB2312" w:hAnsi="黑体" w:eastAsia="仿宋_GB2312" w:cs="仿宋_GB2312"/>
          <w:color w:val="auto"/>
          <w:sz w:val="32"/>
          <w:szCs w:val="32"/>
        </w:rPr>
        <w:t>（类）人大事务（款）其他人大事务支出（项）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5.2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比上年预算数减少5.77万元，主要是</w:t>
      </w:r>
      <w:r>
        <w:rPr>
          <w:rFonts w:hint="eastAsia" w:ascii="仿宋_GB2312" w:hAnsi="黑体" w:eastAsia="仿宋_GB2312" w:cs="仿宋_GB2312"/>
          <w:sz w:val="32"/>
          <w:szCs w:val="32"/>
        </w:rPr>
        <w:t>人大办公工作</w:t>
      </w:r>
      <w:r>
        <w:rPr>
          <w:rFonts w:hint="eastAsia" w:ascii="仿宋_GB2312" w:hAnsi="黑体" w:eastAsia="仿宋_GB2312" w:cs="仿宋_GB2312"/>
          <w:sz w:val="32"/>
          <w:szCs w:val="32"/>
          <w:lang w:val="en-US" w:eastAsia="zh-CN"/>
        </w:rPr>
        <w:t>经费</w:t>
      </w:r>
      <w:r>
        <w:rPr>
          <w:rFonts w:hint="eastAsia" w:ascii="仿宋_GB2312" w:hAnsi="黑体" w:eastAsia="仿宋_GB2312" w:cs="仿宋_GB2312"/>
          <w:sz w:val="32"/>
          <w:szCs w:val="32"/>
        </w:rPr>
        <w:t>的</w:t>
      </w:r>
      <w:r>
        <w:rPr>
          <w:rFonts w:hint="eastAsia" w:ascii="仿宋_GB2312" w:hAnsi="黑体" w:eastAsia="仿宋_GB2312" w:cs="仿宋_GB2312"/>
          <w:sz w:val="32"/>
          <w:szCs w:val="32"/>
          <w:lang w:val="en-US" w:eastAsia="zh-CN"/>
        </w:rPr>
        <w:t>减少</w:t>
      </w:r>
      <w:r>
        <w:rPr>
          <w:rFonts w:hint="eastAsia" w:ascii="仿宋_GB2312" w:hAnsi="黑体" w:eastAsia="仿宋_GB2312"/>
          <w:color w:val="auto"/>
          <w:sz w:val="32"/>
          <w:szCs w:val="32"/>
          <w:lang w:val="en-US" w:eastAsia="zh-CN"/>
        </w:rPr>
        <w:t>。</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4.一般公共服务支出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val="en-US" w:eastAsia="zh-CN"/>
        </w:rPr>
        <w:t>政府办公厅（室）及相关机构事务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val="en-US"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275.24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增加38.71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2023年有两名公务员入职，增加相应预算</w:t>
      </w:r>
      <w:r>
        <w:rPr>
          <w:rFonts w:hint="eastAsia" w:ascii="仿宋_GB2312" w:hAnsi="黑体" w:eastAsia="仿宋_GB2312" w:cs="仿宋_GB2312"/>
          <w:color w:val="auto"/>
          <w:sz w:val="32"/>
          <w:szCs w:val="32"/>
          <w:lang w:val="en-US" w:eastAsia="zh-CN"/>
        </w:rPr>
        <w:t>。</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5.一般公共服务支出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val="en-US" w:eastAsia="zh-CN"/>
        </w:rPr>
        <w:t>政府办公厅（室）及相关机构事务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val="en-US" w:eastAsia="zh-CN"/>
        </w:rPr>
        <w:t>其他政府办公厅（室）及相关机构事务支出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2024年预算数为25.17万元，比上年预算数</w:t>
      </w:r>
      <w:r>
        <w:rPr>
          <w:rFonts w:hint="eastAsia" w:ascii="仿宋_GB2312" w:hAnsi="黑体" w:eastAsia="仿宋_GB2312"/>
          <w:color w:val="auto"/>
          <w:sz w:val="32"/>
          <w:szCs w:val="32"/>
          <w:lang w:val="en-US" w:eastAsia="zh-CN"/>
        </w:rPr>
        <w:t>减少5.53</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，主要是根据工作需要相应减少。</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党委办公厅（室）及相关机构事务（款）其他党委办公厅（室）及相关机构事务支出（项）2024年预算数为10万元，与上年预算数持平。</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组织事务（款）其他组织事务支出（项）2024年预算数为25.58万元，比上年预算数减少7.34万元，主要是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val="en-US" w:eastAsia="zh-CN"/>
        </w:rPr>
        <w:t>。</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8.一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宣传事务（款）其他宣传事务支出（项）2024年预算数为0.04万元，比上年预算数减少7.96万元，主要是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val="en-US" w:eastAsia="zh-CN"/>
        </w:rPr>
        <w:t>。</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9.一</w:t>
      </w:r>
      <w:r>
        <w:rPr>
          <w:rFonts w:hint="eastAsia" w:ascii="仿宋_GB2312" w:hAnsi="黑体" w:eastAsia="仿宋_GB2312" w:cs="仿宋_GB2312"/>
          <w:color w:val="auto"/>
          <w:sz w:val="32"/>
          <w:szCs w:val="32"/>
          <w:lang w:val="en-US" w:eastAsia="zh-CN"/>
        </w:rPr>
        <w:t>般公共服务支出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val="en-US" w:eastAsia="zh-CN"/>
        </w:rPr>
        <w:t>社会工作事务（款）其他社会工作事务支出（项）2024年预算数为2.8万元，比上年预算数增加2.8万元，主要是</w:t>
      </w:r>
      <w:r>
        <w:rPr>
          <w:rFonts w:hint="eastAsia" w:ascii="仿宋_GB2312" w:hAnsi="黑体" w:eastAsia="仿宋_GB2312" w:cs="仿宋_GB2312"/>
          <w:color w:val="auto"/>
          <w:sz w:val="32"/>
          <w:szCs w:val="32"/>
          <w:lang w:val="en-US" w:eastAsia="zh-CN"/>
        </w:rPr>
        <w:t>根据社会工作事务增加</w:t>
      </w:r>
      <w:r>
        <w:rPr>
          <w:rFonts w:hint="eastAsia" w:ascii="仿宋_GB2312" w:hAnsi="黑体" w:eastAsia="仿宋_GB2312"/>
          <w:color w:val="auto"/>
          <w:sz w:val="32"/>
          <w:szCs w:val="32"/>
          <w:lang w:val="en-US" w:eastAsia="zh-CN"/>
        </w:rPr>
        <w:t>。</w:t>
      </w:r>
    </w:p>
    <w:p>
      <w:pPr>
        <w:numPr>
          <w:ilvl w:val="0"/>
          <w:numId w:val="0"/>
        </w:numPr>
        <w:ind w:firstLine="640" w:firstLineChars="20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10.国防支出（类）其他国防支出（款）其他国防支出（项）2024年预算数为8万元，比上年预算数减少2万元，主要是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11.公共安全支出（类）公安（款）其他公安支出（项）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增加1.6</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val="en-US" w:eastAsia="zh-CN"/>
        </w:rPr>
        <w:t>增加公安经费。</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olor w:val="auto"/>
          <w:sz w:val="32"/>
          <w:szCs w:val="32"/>
          <w:lang w:val="en-US" w:eastAsia="zh-CN"/>
        </w:rPr>
        <w:t>12.公共安全支出（类）其他公共安全支出（款）其他公共安全支出（项）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减少6.02</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val="en-US" w:eastAsia="zh-CN"/>
        </w:rPr>
        <w:t>根据工作需要相应减少预算。</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13.</w:t>
      </w:r>
      <w:r>
        <w:rPr>
          <w:rFonts w:hint="eastAsia" w:ascii="仿宋_GB2312" w:hAnsi="黑体" w:eastAsia="仿宋_GB2312"/>
          <w:color w:val="auto"/>
          <w:sz w:val="32"/>
          <w:szCs w:val="32"/>
          <w:lang w:val="en-US" w:eastAsia="zh-CN"/>
        </w:rPr>
        <w:t>文化旅游体育与传媒支出（类）文化和旅游（款）群众文化（项）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8.62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增加6.23万元，主要</w:t>
      </w:r>
      <w:r>
        <w:rPr>
          <w:rFonts w:hint="eastAsia" w:ascii="仿宋_GB2312" w:hAnsi="黑体" w:eastAsia="仿宋_GB2312" w:cs="仿宋_GB2312"/>
          <w:sz w:val="32"/>
          <w:szCs w:val="32"/>
        </w:rPr>
        <w:t>增加文明实践活动</w:t>
      </w:r>
      <w:r>
        <w:rPr>
          <w:rFonts w:hint="eastAsia" w:ascii="仿宋_GB2312" w:hAnsi="黑体" w:eastAsia="仿宋_GB2312" w:cs="仿宋_GB2312"/>
          <w:sz w:val="32"/>
          <w:szCs w:val="32"/>
          <w:lang w:eastAsia="zh-CN"/>
        </w:rPr>
        <w:t>场所</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14.文化旅游体育与传媒支出（类）文化和旅游（款）其他文化和旅游支出（项）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13.5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增加12.7万元，主要是增加</w:t>
      </w:r>
      <w:r>
        <w:rPr>
          <w:rFonts w:hint="eastAsia" w:ascii="仿宋_GB2312" w:hAnsi="黑体" w:eastAsia="仿宋_GB2312" w:cs="仿宋_GB2312"/>
          <w:sz w:val="32"/>
          <w:szCs w:val="32"/>
        </w:rPr>
        <w:t>文化活动经</w:t>
      </w:r>
      <w:r>
        <w:rPr>
          <w:rFonts w:hint="eastAsia" w:ascii="仿宋_GB2312" w:hAnsi="黑体" w:eastAsia="仿宋_GB2312" w:cs="仿宋_GB2312"/>
          <w:sz w:val="32"/>
          <w:szCs w:val="32"/>
          <w:lang w:eastAsia="zh-CN"/>
        </w:rPr>
        <w:t>费</w:t>
      </w:r>
      <w:r>
        <w:rPr>
          <w:rFonts w:hint="eastAsia" w:ascii="仿宋_GB2312" w:hAnsi="黑体" w:eastAsia="仿宋_GB2312"/>
          <w:color w:val="auto"/>
          <w:sz w:val="32"/>
          <w:szCs w:val="32"/>
          <w:lang w:val="en-US" w:eastAsia="zh-CN"/>
        </w:rPr>
        <w:t>预算</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15.社会保障和就业支出（类）人力资源和社会保障管理事务（款）就业管理事务（项）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减少0.9万元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s="仿宋_GB2312"/>
          <w:color w:val="auto"/>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olor w:val="auto"/>
          <w:sz w:val="32"/>
          <w:szCs w:val="32"/>
          <w:lang w:val="en-US" w:eastAsia="zh-CN"/>
        </w:rPr>
        <w:t>16.社会保障和就业支出（类）人力资源和社会保障管理事务（款）社会保险经办机构（项）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10.6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减少3.81万元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olor w:val="auto"/>
          <w:sz w:val="32"/>
          <w:szCs w:val="32"/>
          <w:lang w:val="en-US" w:eastAsia="zh-CN"/>
        </w:rPr>
        <w:t>17.社会保障和就业支出（类）人力资源和社会保障管理事务（款）事业运行（项）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287.09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增加65.41万元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根据人员调动增加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18.社会保障和就业支出（类）人力资源和社会保障管理事务（款）其他人力资源和社会保障管理事务支出（项）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减少2.63万元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根据工作需要相应减少预算</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19.社会保障和就业支出（类）民政管理事务（款）社会组织管理（项）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486.21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增加36.21万元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社区两委人员</w:t>
      </w:r>
      <w:r>
        <w:rPr>
          <w:rFonts w:hint="eastAsia" w:ascii="仿宋_GB2312" w:hAnsi="黑体" w:eastAsia="仿宋_GB2312" w:cs="仿宋_GB2312"/>
          <w:sz w:val="32"/>
          <w:szCs w:val="32"/>
          <w:lang w:eastAsia="zh-CN"/>
        </w:rPr>
        <w:t>工资</w:t>
      </w:r>
      <w:r>
        <w:rPr>
          <w:rFonts w:hint="eastAsia" w:ascii="仿宋_GB2312" w:hAnsi="黑体" w:eastAsia="仿宋_GB2312" w:cs="仿宋_GB2312"/>
          <w:sz w:val="32"/>
          <w:szCs w:val="32"/>
        </w:rPr>
        <w:t>经费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社保基数增加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20.社会保障和就业支出（类）民政管理事务（款）基层政权建设和社区治理（项）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447.94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减少25.17万元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主要是人员经费减少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21.社会保障和就业支出（类）民政管理事务（款）其他民政管理事务支出（项）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4.45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减少6.07万元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民政工作经费</w:t>
      </w:r>
      <w:r>
        <w:rPr>
          <w:rFonts w:hint="eastAsia" w:ascii="仿宋_GB2312" w:hAnsi="黑体" w:eastAsia="仿宋_GB2312" w:cs="仿宋_GB2312"/>
          <w:sz w:val="32"/>
          <w:szCs w:val="32"/>
          <w:lang w:eastAsia="zh-CN"/>
        </w:rPr>
        <w:t>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22.社会保障和就业支出（类）行政事业部门养老支出（款）机关事业部门基本养老保险缴费支出（项）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年预算数87.21万元，比上年预算数</w:t>
      </w:r>
      <w:r>
        <w:rPr>
          <w:rFonts w:hint="eastAsia" w:ascii="仿宋_GB2312" w:hAnsi="黑体" w:eastAsia="仿宋_GB2312"/>
          <w:color w:val="auto"/>
          <w:sz w:val="32"/>
          <w:szCs w:val="32"/>
          <w:lang w:val="en-US" w:eastAsia="zh-CN"/>
        </w:rPr>
        <w:t>增加9.65万元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主要是人员增加、社保基数上调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23.社会保障和就业支出（类）行政事业部门养老支出（款）机关事业部门职业年金缴费支出（项）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43.61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增加4.83万元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主要是人员调动增加，职业年金缴费增加</w:t>
      </w:r>
      <w:r>
        <w:rPr>
          <w:rFonts w:hint="eastAsia" w:ascii="仿宋_GB2312" w:hAnsi="黑体" w:eastAsia="仿宋_GB2312" w:cs="仿宋_GB2312"/>
          <w:color w:val="auto"/>
          <w:sz w:val="32"/>
          <w:szCs w:val="32"/>
          <w:lang w:val="en-US"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24.社会保障和就业支出（类）就业补助（款）公益性岗位补贴（项）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1.47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增加0.42万元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公益性岗位</w:t>
      </w:r>
      <w:r>
        <w:rPr>
          <w:rFonts w:hint="eastAsia" w:ascii="仿宋_GB2312" w:hAnsi="黑体" w:eastAsia="仿宋_GB2312" w:cs="仿宋_GB2312"/>
          <w:sz w:val="32"/>
          <w:szCs w:val="32"/>
          <w:lang w:val="en-US" w:eastAsia="zh-CN"/>
        </w:rPr>
        <w:t>人员增加一人</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25.社会保障和就业支出（类）抚恤（款）其他优抚支出（项）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7.88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增加0.4万元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eastAsia="zh-CN"/>
        </w:rPr>
        <w:t>遗属生活补助标准上调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26.社会保障和就业支出（类）退役安置（款）其他退役安置支出（项）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退役安置人员增加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27.社会保障和就业支出（类）社会福利（款）老年福利（项）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74.39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减少4.41万元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eastAsia="zh-CN"/>
        </w:rPr>
        <w:t>高龄老人</w:t>
      </w:r>
      <w:r>
        <w:rPr>
          <w:rFonts w:hint="eastAsia" w:ascii="仿宋_GB2312" w:hAnsi="黑体" w:eastAsia="仿宋_GB2312" w:cs="仿宋_GB2312"/>
          <w:sz w:val="32"/>
          <w:szCs w:val="32"/>
          <w:lang w:val="en-US" w:eastAsia="zh-CN"/>
        </w:rPr>
        <w:t>人数有所减少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28.社会保障和就业支出（类）社会福利（款）其他社会福利支出（项）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增加3.5万元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主要是增加社会福利工作经费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29.社会保障和就业支出（类）残疾人事业（款）其他残疾人事业支出（项）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2.33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减少0.11万元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val="en-US" w:eastAsia="zh-CN"/>
        </w:rPr>
        <w:t>根据工作需要减少</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30.社会保障和就业支出（类）临时救助（款）临时救助支出（项）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减少11.86万元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color w:val="auto"/>
          <w:sz w:val="32"/>
          <w:szCs w:val="32"/>
          <w:lang w:val="en-US" w:eastAsia="zh-CN"/>
        </w:rPr>
        <w:t>根据工作需要减少</w:t>
      </w:r>
      <w:r>
        <w:rPr>
          <w:rFonts w:hint="eastAsia" w:ascii="仿宋_GB2312" w:hAnsi="黑体" w:eastAsia="仿宋_GB2312" w:cs="仿宋_GB2312"/>
          <w:color w:val="auto"/>
          <w:sz w:val="32"/>
          <w:szCs w:val="32"/>
        </w:rPr>
        <w:t>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31.社会保障和就业支出（类）其他社会保障和就业支出（款）其他社会保障和就业支出（项）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11.95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增加</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年春节困难家庭慰问金发放</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32.卫生健康支出（类）卫生健康管理事务（款）其他卫生健康管理事务支出（项）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6.03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增加5.69万元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为卫生健康工作经费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33.卫生健康支出（类）公共卫生（款）重大公共卫生服务（项）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5.49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增加5.49万元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主要是去年有关疫情方面经费未支出并结转的指标</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34.卫生健康支出（类）公共卫生（款）其他公共卫生支出（项）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11.99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减少90.48万元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val="en-US" w:eastAsia="zh-CN"/>
        </w:rPr>
        <w:t>根据工作需要减少</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35.卫生健康支出（类）计划生育事务（款）计划生育服务（项）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21.08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增加12.16万元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主要是根据计生工作经费增加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36.卫生健康支出（类）计划生育事务（款）其他计划生育事务支出（项）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减少62.12万元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lang w:val="en-US" w:eastAsia="zh-CN"/>
        </w:rPr>
        <w:t>根据工作需要减少</w:t>
      </w:r>
      <w:r>
        <w:rPr>
          <w:rFonts w:hint="eastAsia" w:ascii="仿宋_GB2312" w:hAnsi="黑体" w:eastAsia="仿宋_GB2312" w:cs="仿宋_GB2312"/>
          <w:sz w:val="32"/>
          <w:szCs w:val="32"/>
        </w:rPr>
        <w:t>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37.卫生健康支出（类）行政事业部门医疗（款）行政部门医疗（项）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14.67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增加2.27万元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主要是2023年度人员退休人数增加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38.卫生健康支出（类）行政事业部门医疗（款）事业单位医疗（项）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25.04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增加2.11万元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人员工资结构和标准发生变化</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olor w:val="auto"/>
          <w:sz w:val="32"/>
          <w:szCs w:val="32"/>
          <w:lang w:val="en-US" w:eastAsia="zh-CN"/>
        </w:rPr>
        <w:t>39.卫生健康支出（类）行政事业部门医疗（款）公务员医疗补助（项）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85.56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增加9.06万元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人员工资结构和标准发生变化</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40.</w:t>
      </w:r>
      <w:r>
        <w:rPr>
          <w:rFonts w:hint="eastAsia" w:ascii="仿宋_GB2312" w:hAnsi="黑体" w:eastAsia="仿宋_GB2312"/>
          <w:color w:val="auto"/>
          <w:sz w:val="32"/>
          <w:szCs w:val="32"/>
          <w:lang w:val="en-US" w:eastAsia="zh-CN"/>
        </w:rPr>
        <w:t>卫生健康支出（类）医疗保障管理事务（款）其他医疗保障管理事务支出（项）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增加1.6万元，主要是</w:t>
      </w:r>
      <w:r>
        <w:rPr>
          <w:rFonts w:hint="eastAsia" w:ascii="仿宋_GB2312" w:hAnsi="黑体" w:eastAsia="仿宋_GB2312" w:cs="仿宋_GB2312"/>
          <w:sz w:val="32"/>
          <w:szCs w:val="32"/>
          <w:lang w:val="en-US" w:eastAsia="zh-CN"/>
        </w:rPr>
        <w:t>增加医疗保障工作经费</w:t>
      </w:r>
      <w:r>
        <w:rPr>
          <w:rFonts w:hint="eastAsia" w:ascii="仿宋_GB2312" w:hAnsi="黑体" w:eastAsia="仿宋_GB2312" w:cs="仿宋_GB2312"/>
          <w:sz w:val="32"/>
          <w:szCs w:val="32"/>
          <w:lang w:eastAsia="zh-CN"/>
        </w:rPr>
        <w:t>。</w:t>
      </w:r>
    </w:p>
    <w:p>
      <w:pPr>
        <w:ind w:firstLine="640" w:firstLineChars="200"/>
        <w:rPr>
          <w:color w:val="auto"/>
        </w:rPr>
      </w:pPr>
      <w:r>
        <w:rPr>
          <w:rFonts w:hint="eastAsia" w:ascii="仿宋_GB2312" w:hAnsi="黑体" w:eastAsia="仿宋_GB2312"/>
          <w:color w:val="auto"/>
          <w:sz w:val="32"/>
          <w:szCs w:val="32"/>
          <w:lang w:val="en-US" w:eastAsia="zh-CN"/>
        </w:rPr>
        <w:t>41.城乡社区支出（类）城乡社区管理事务（款）其他城乡社区管理事务支出（项）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11.56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减少12.55万元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42.城乡社区支出（类）城乡社区环境卫生（款）城乡社区环境卫生（项）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22.41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减少16.95万元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43.城乡社区支出（类）其他城乡社区支出（款）其他城乡社区支出（项）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9.71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增加9.71万元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主要是增加其他城乡社区工作经费</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44.农林水支出（类）林业和草原（款）森林资源培育（项）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增加2万元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主要是增加森林资源培育工作经费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45.农林水支出（类）林业和草原（款）其他林业和草原支出（项）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r>
        <w:rPr>
          <w:rFonts w:hint="eastAsia" w:ascii="仿宋_GB2312" w:hAnsi="黑体" w:eastAsia="仿宋_GB2312"/>
          <w:color w:val="auto"/>
          <w:sz w:val="32"/>
          <w:szCs w:val="32"/>
          <w:lang w:eastAsia="zh-CN"/>
        </w:rPr>
        <w:t>。</w:t>
      </w:r>
    </w:p>
    <w:p>
      <w:pPr>
        <w:numPr>
          <w:ilvl w:val="0"/>
          <w:numId w:val="0"/>
        </w:numPr>
        <w:ind w:firstLine="640" w:firstLineChars="200"/>
        <w:jc w:val="left"/>
        <w:rPr>
          <w:rFonts w:hint="default" w:ascii="仿宋_GB2312" w:hAnsi="黑体" w:eastAsia="仿宋_GB2312"/>
          <w:color w:val="0000FF"/>
          <w:sz w:val="32"/>
          <w:szCs w:val="32"/>
          <w:lang w:val="en-US" w:eastAsia="zh-CN"/>
        </w:rPr>
      </w:pPr>
      <w:r>
        <w:rPr>
          <w:rFonts w:hint="eastAsia" w:ascii="仿宋_GB2312" w:hAnsi="黑体" w:eastAsia="仿宋_GB2312"/>
          <w:color w:val="auto"/>
          <w:sz w:val="32"/>
          <w:szCs w:val="32"/>
          <w:lang w:val="en-US" w:eastAsia="zh-CN"/>
        </w:rPr>
        <w:t>46.农林水支出（类）水利（款）水资源节约管理与保护（项）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减少1万元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主要是根据工作需要相应的减少经费。</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47.农林水支出（类）水利（款）防汛（项）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与上年预算持平</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48.自然资源海洋气象等支出（类）其他自然资源海洋气象等支出（款）其他自然资源海洋气象等支出（项）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与上年预算持平</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49.住房保障支出（类）住房改革支出（款）住房公积金（项）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77.02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增加7.98万元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主要是公积金基数上调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50.灾害防治及应急管理支出（类）应急管理事务（款）安全监管（项）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与上年预算持平</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51.灾害防治及应急管理支出（类）应急管理事务（款）事业运行（项）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165.66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增加15.95万元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主要是人员基本工资正常调资</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52.灾害防治及应急管理支出（类）地震事务（款）其他地震事务支出（项）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3.19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增加0.9万元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主要是增加</w:t>
      </w:r>
      <w:r>
        <w:rPr>
          <w:rFonts w:hint="eastAsia" w:ascii="仿宋_GB2312" w:hAnsi="黑体" w:eastAsia="仿宋_GB2312" w:cs="仿宋_GB2312"/>
          <w:sz w:val="32"/>
          <w:szCs w:val="32"/>
        </w:rPr>
        <w:t>防震减灾工作</w:t>
      </w:r>
      <w:r>
        <w:rPr>
          <w:rFonts w:hint="eastAsia" w:ascii="仿宋_GB2312" w:hAnsi="黑体" w:eastAsia="仿宋_GB2312" w:cs="仿宋_GB2312"/>
          <w:sz w:val="32"/>
          <w:szCs w:val="32"/>
          <w:lang w:eastAsia="zh-CN"/>
        </w:rPr>
        <w:t>经费</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新埠街道2024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1067.58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人员经费993.98万元，主要包括：基本工资、津贴补贴、奖金、绩效工资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、职业年金缴费、职工基本医疗保险缴费、公务员医疗补助缴费、其他社会保障缴费、住房公积金、医疗费、其他工资福利支出、其他交通费用、生活补助、奖励金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73.60</w:t>
      </w:r>
      <w:r>
        <w:rPr>
          <w:rFonts w:hint="eastAsia" w:ascii="仿宋_GB2312" w:hAnsi="黑体" w:eastAsia="仿宋_GB2312"/>
          <w:sz w:val="32"/>
          <w:szCs w:val="32"/>
        </w:rPr>
        <w:t>万元，主要包括：办办公费、印刷费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邮电费、差旅费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维修（护）费、租赁费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工会经费、公务用车运行维护费、其他商品和服务支出、救济费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新埠街道2024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lang w:val="en-US" w:eastAsia="zh-CN"/>
        </w:rPr>
        <w:t>2024</w:t>
      </w:r>
      <w:r>
        <w:rPr>
          <w:rFonts w:hint="eastAsia" w:ascii="Times New Roman" w:hAnsi="Times New Roman" w:eastAsia="仿宋_GB2312" w:cs="仿宋_GB2312"/>
          <w:sz w:val="32"/>
          <w:szCs w:val="32"/>
          <w:shd w:val="clear" w:color="auto" w:fill="FFFFFF"/>
        </w:rPr>
        <w:t>年无因公出国计划。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eastAsia="仿宋_GB2312" w:cs="Times New Roman"/>
          <w:sz w:val="32"/>
          <w:shd w:val="clear" w:color="auto" w:fill="FFFFFF"/>
          <w:lang w:val="en-US" w:eastAsia="zh-CN"/>
        </w:rPr>
        <w:t>较上年预算下降10.93%，下降</w:t>
      </w:r>
      <w:r>
        <w:rPr>
          <w:rFonts w:hint="eastAsia" w:ascii="Times New Roman" w:hAnsi="Times New Roman" w:eastAsia="仿宋_GB2312" w:cs="Times New Roman"/>
          <w:sz w:val="32"/>
          <w:shd w:val="clear" w:color="auto" w:fill="FFFFFF"/>
        </w:rPr>
        <w:t>的主要原因包括：严格控制出车标准、经费支出，减少运</w:t>
      </w:r>
      <w:r>
        <w:rPr>
          <w:rFonts w:hint="eastAsia" w:eastAsia="仿宋_GB2312" w:cs="Times New Roman"/>
          <w:sz w:val="32"/>
          <w:shd w:val="clear" w:color="auto" w:fill="FFFFFF"/>
          <w:lang w:val="en-US" w:eastAsia="zh-CN"/>
        </w:rPr>
        <w:t>行费用</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lang w:val="en-US" w:eastAsia="zh-CN"/>
        </w:rPr>
        <w:t>2024</w:t>
      </w:r>
      <w:r>
        <w:rPr>
          <w:rFonts w:hint="eastAsia" w:ascii="Times New Roman" w:hAnsi="Times New Roman" w:eastAsia="仿宋_GB2312" w:cs="Times New Roman"/>
          <w:sz w:val="32"/>
          <w:shd w:val="clear" w:color="auto" w:fill="FFFFFF"/>
        </w:rPr>
        <w:t>年</w:t>
      </w:r>
      <w:r>
        <w:rPr>
          <w:rFonts w:hint="eastAsia" w:ascii="Times New Roman" w:hAnsi="Times New Roman" w:eastAsia="仿宋_GB2312" w:cs="仿宋_GB2312"/>
          <w:sz w:val="32"/>
          <w:szCs w:val="32"/>
          <w:shd w:val="clear" w:color="auto" w:fill="FFFFFF"/>
        </w:rPr>
        <w:t>无因公出国计划</w:t>
      </w:r>
      <w:r>
        <w:rPr>
          <w:rFonts w:hint="eastAsia" w:eastAsia="仿宋_GB2312" w:cs="仿宋_GB2312"/>
          <w:sz w:val="32"/>
          <w:szCs w:val="32"/>
          <w:shd w:val="clear" w:color="auto" w:fill="FFFFFF"/>
          <w:lang w:val="en-US" w:eastAsia="zh-CN"/>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新埠街道2024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119.62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85.92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其他国有土地使用权出让收入安排的支出</w:t>
      </w:r>
      <w:r>
        <w:rPr>
          <w:rFonts w:hint="eastAsia" w:ascii="仿宋_GB2312" w:hAnsi="黑体" w:eastAsia="仿宋_GB2312"/>
          <w:sz w:val="32"/>
          <w:szCs w:val="32"/>
          <w:lang w:val="en-US" w:eastAsia="zh-CN"/>
        </w:rPr>
        <w:t>预算增加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lang w:val="en-US" w:eastAsia="zh-CN"/>
        </w:rPr>
        <w:t>预算119.62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比</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征地和拆迁补偿支出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24.38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比上年预算数增加24.38万元，主要是横沟城市更新改造工作支出增加。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其他国有土地使用权出让收入安排的支出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95.25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比上年预算数增加95.25万元,主要是打违拆违支出增加。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新埠街道2024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、政府性基金预算拨款收入</w:t>
      </w:r>
      <w:r>
        <w:rPr>
          <w:rFonts w:hint="eastAsia" w:ascii="仿宋_GB2312" w:hAnsi="黑体" w:eastAsia="仿宋_GB2312"/>
          <w:sz w:val="32"/>
          <w:szCs w:val="32"/>
        </w:rPr>
        <w:t>；支出包括：一般公共服务支出、国防支出、公共安全支出、</w:t>
      </w:r>
      <w:r>
        <w:rPr>
          <w:rFonts w:hint="eastAsia" w:ascii="仿宋_GB2312" w:hAnsi="黑体" w:eastAsia="仿宋_GB2312"/>
          <w:sz w:val="32"/>
          <w:szCs w:val="32"/>
          <w:lang w:eastAsia="zh-CN"/>
        </w:rPr>
        <w:t>文化旅游体育与传媒支出、社会保障和就业支出、卫生健康支出、城乡社区支出、农林水支出、自然资源海洋气象等支出、住房保障支出、灾害防治及应急管理支出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2462.30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新埠街道2024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2462.30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178.38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7.24</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一般公共预算拨款收入</w:t>
      </w:r>
      <w:r>
        <w:rPr>
          <w:rFonts w:hint="eastAsia" w:ascii="仿宋_GB2312" w:hAnsi="黑体" w:eastAsia="仿宋_GB2312" w:cs="仿宋_GB2312"/>
          <w:sz w:val="32"/>
          <w:szCs w:val="32"/>
          <w:lang w:val="en-US" w:eastAsia="zh-CN"/>
        </w:rPr>
        <w:t>2263.92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91.94</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减少11.85万元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一般公共预算</w:t>
      </w:r>
      <w:r>
        <w:rPr>
          <w:rFonts w:hint="eastAsia" w:ascii="仿宋_GB2312" w:hAnsi="黑体" w:eastAsia="仿宋_GB2312"/>
          <w:sz w:val="32"/>
          <w:szCs w:val="32"/>
          <w:lang w:val="en-US" w:eastAsia="zh-CN"/>
        </w:rPr>
        <w:t>收入减少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新埠街道2024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新埠街道2024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2462.30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1067.58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43.36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1394.72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56.64</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减少11.85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厉行节约，“勒紧裤袋过紧日子”</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w:t>
      </w:r>
      <w:r>
        <w:rPr>
          <w:rFonts w:hint="eastAsia" w:ascii="楷体" w:hAnsi="楷体" w:eastAsia="楷体"/>
          <w:sz w:val="32"/>
          <w:szCs w:val="32"/>
          <w:lang w:eastAsia="zh-CN"/>
        </w:rPr>
        <w:t>部门、</w:t>
      </w:r>
      <w:r>
        <w:rPr>
          <w:rFonts w:hint="eastAsia" w:ascii="楷体" w:hAnsi="楷体" w:eastAsia="楷体"/>
          <w:sz w:val="32"/>
          <w:szCs w:val="32"/>
        </w:rPr>
        <w:t>参照公务员法管理的事业</w:t>
      </w:r>
      <w:r>
        <w:rPr>
          <w:rFonts w:hint="eastAsia" w:ascii="楷体" w:hAnsi="楷体" w:eastAsia="楷体"/>
          <w:sz w:val="32"/>
          <w:szCs w:val="32"/>
          <w:lang w:eastAsia="zh-CN"/>
        </w:rPr>
        <w:t>部门需说明，其他部门不需要说明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新埠街道办事处</w:t>
      </w:r>
      <w:r>
        <w:rPr>
          <w:rFonts w:hint="eastAsia" w:ascii="仿宋_GB2312" w:hAnsi="黑体" w:eastAsia="仿宋_GB2312" w:cs="仿宋_GB2312"/>
          <w:sz w:val="32"/>
          <w:szCs w:val="32"/>
          <w:highlight w:val="none"/>
        </w:rPr>
        <w:t>本级机关运行经费预算</w:t>
      </w:r>
      <w:r>
        <w:rPr>
          <w:rFonts w:hint="eastAsia" w:ascii="仿宋_GB2312" w:hAnsi="黑体" w:eastAsia="仿宋_GB2312" w:cs="仿宋_GB2312"/>
          <w:sz w:val="32"/>
          <w:szCs w:val="32"/>
          <w:highlight w:val="none"/>
          <w:lang w:val="en-US" w:eastAsia="zh-CN"/>
        </w:rPr>
        <w:t>为</w:t>
      </w:r>
      <w:r>
        <w:rPr>
          <w:rFonts w:hint="eastAsia" w:ascii="仿宋_GB2312" w:hAnsi="黑体" w:eastAsia="仿宋_GB2312" w:cs="仿宋_GB2312"/>
          <w:color w:val="auto"/>
          <w:sz w:val="32"/>
          <w:szCs w:val="32"/>
          <w:highlight w:val="none"/>
          <w:lang w:val="en-US" w:eastAsia="zh-CN"/>
        </w:rPr>
        <w:t>73.6</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新埠</w:t>
      </w:r>
      <w:r>
        <w:rPr>
          <w:rFonts w:hint="eastAsia" w:ascii="仿宋_GB2312" w:hAnsi="黑体" w:eastAsia="仿宋_GB2312" w:cs="仿宋_GB2312"/>
          <w:sz w:val="32"/>
          <w:szCs w:val="32"/>
        </w:rPr>
        <w:t>街道</w:t>
      </w:r>
      <w:r>
        <w:rPr>
          <w:rFonts w:hint="eastAsia" w:ascii="仿宋_GB2312" w:hAnsi="黑体" w:eastAsia="仿宋_GB2312" w:cs="仿宋_GB2312"/>
          <w:sz w:val="32"/>
          <w:szCs w:val="32"/>
          <w:lang w:eastAsia="zh-CN"/>
        </w:rPr>
        <w:t>办事处</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8.28</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8.28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新埠街道</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新埠街道79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2263.92</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其中，重点项目预算绩效情况：</w:t>
      </w:r>
    </w:p>
    <w:p>
      <w:pPr>
        <w:numPr>
          <w:ilvl w:val="0"/>
          <w:numId w:val="8"/>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违法建筑整治工作项目，预算安排20万元（不含上年结转），</w:t>
      </w:r>
      <w:r>
        <w:rPr>
          <w:rFonts w:hint="default" w:ascii="仿宋_GB2312" w:hAnsi="宋体" w:eastAsia="仿宋_GB2312" w:cs="仿宋_GB2312"/>
          <w:kern w:val="0"/>
          <w:sz w:val="31"/>
          <w:szCs w:val="31"/>
        </w:rPr>
        <w:t>主</w:t>
      </w:r>
      <w:r>
        <w:rPr>
          <w:rFonts w:hint="default" w:ascii="仿宋_GB2312" w:hAnsi="黑体" w:eastAsia="仿宋_GB2312"/>
          <w:sz w:val="32"/>
          <w:szCs w:val="32"/>
          <w:lang w:val="en-US" w:eastAsia="zh-CN"/>
        </w:rPr>
        <w:t>要用于街道辖区</w:t>
      </w:r>
      <w:r>
        <w:rPr>
          <w:rFonts w:hint="eastAsia" w:ascii="仿宋_GB2312" w:hAnsi="黑体" w:eastAsia="仿宋_GB2312"/>
          <w:sz w:val="32"/>
          <w:szCs w:val="32"/>
          <w:lang w:val="en-US" w:eastAsia="zh-CN"/>
        </w:rPr>
        <w:t>范围内的</w:t>
      </w:r>
      <w:r>
        <w:rPr>
          <w:rFonts w:hint="default" w:ascii="仿宋_GB2312" w:hAnsi="黑体" w:eastAsia="仿宋_GB2312"/>
          <w:sz w:val="32"/>
          <w:szCs w:val="32"/>
          <w:lang w:val="en-US" w:eastAsia="zh-CN"/>
        </w:rPr>
        <w:t>违</w:t>
      </w:r>
      <w:r>
        <w:rPr>
          <w:rFonts w:hint="eastAsia" w:ascii="仿宋_GB2312" w:hAnsi="黑体" w:eastAsia="仿宋_GB2312"/>
          <w:sz w:val="32"/>
          <w:szCs w:val="32"/>
          <w:lang w:val="en-US" w:eastAsia="zh-CN"/>
        </w:rPr>
        <w:t>法建筑物</w:t>
      </w:r>
      <w:r>
        <w:rPr>
          <w:rFonts w:hint="default" w:ascii="仿宋_GB2312" w:hAnsi="黑体" w:eastAsia="仿宋_GB2312"/>
          <w:sz w:val="32"/>
          <w:szCs w:val="32"/>
          <w:lang w:val="en-US" w:eastAsia="zh-CN"/>
        </w:rPr>
        <w:t>拆除，搬运建筑垃圾</w:t>
      </w:r>
      <w:r>
        <w:rPr>
          <w:rFonts w:hint="eastAsia" w:ascii="仿宋_GB2312" w:hAnsi="黑体" w:eastAsia="仿宋_GB2312"/>
          <w:sz w:val="32"/>
          <w:szCs w:val="32"/>
          <w:lang w:val="en-US" w:eastAsia="zh-CN"/>
        </w:rPr>
        <w:t>。绩效目标是</w:t>
      </w:r>
      <w:r>
        <w:rPr>
          <w:rFonts w:hint="default" w:ascii="仿宋_GB2312" w:hAnsi="黑体" w:eastAsia="仿宋_GB2312"/>
          <w:sz w:val="32"/>
          <w:szCs w:val="32"/>
          <w:lang w:val="en-US" w:eastAsia="zh-CN"/>
        </w:rPr>
        <w:t>打击违建行为，优化美化辖区环境。</w:t>
      </w:r>
    </w:p>
    <w:p>
      <w:pPr>
        <w:widowControl w:val="0"/>
        <w:numPr>
          <w:ilvl w:val="0"/>
          <w:numId w:val="0"/>
        </w:numPr>
        <w:jc w:val="both"/>
        <w:rPr>
          <w:rFonts w:hint="eastAsia" w:ascii="仿宋_GB2312" w:hAnsi="黑体" w:eastAsia="仿宋_GB2312"/>
          <w:sz w:val="32"/>
          <w:szCs w:val="32"/>
          <w:lang w:val="en-US" w:eastAsia="zh-CN"/>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 xml:space="preserve">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公务出国（境）的国际旅费、国外城市间交通费、住宿费、伙食费、培训费、公杂费等支出；公务用车购置及运行费指</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pPr>
      <w:r>
        <w:rPr>
          <w:rFonts w:hint="eastAsia" w:ascii="仿宋_GB2312" w:hAnsi="宋体" w:eastAsia="仿宋_GB2312" w:cs="宋体"/>
          <w:color w:val="000000"/>
          <w:kern w:val="0"/>
          <w:sz w:val="32"/>
          <w:szCs w:val="30"/>
        </w:rPr>
        <w:t>十二、机关运行经费：为保障行政</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（含参照公务员法管理的事业</w:t>
      </w:r>
      <w:r>
        <w:rPr>
          <w:rFonts w:hint="eastAsia" w:ascii="仿宋_GB2312" w:hAnsi="宋体" w:eastAsia="仿宋_GB2312" w:cs="宋体"/>
          <w:color w:val="000000"/>
          <w:kern w:val="0"/>
          <w:sz w:val="32"/>
          <w:szCs w:val="30"/>
          <w:lang w:eastAsia="zh-CN"/>
        </w:rPr>
        <w:t>部门</w:t>
      </w:r>
      <w:r>
        <w:rPr>
          <w:rFonts w:hint="eastAsia" w:ascii="仿宋_GB2312" w:hAnsi="宋体" w:eastAsia="仿宋_GB2312" w:cs="宋体"/>
          <w:color w:val="000000"/>
          <w:kern w:val="0"/>
          <w:sz w:val="32"/>
          <w:szCs w:val="30"/>
        </w:rPr>
        <w:t>）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DBEB22"/>
    <w:multiLevelType w:val="singleLevel"/>
    <w:tmpl w:val="65DBEB22"/>
    <w:lvl w:ilvl="0" w:tentative="0">
      <w:start w:val="3"/>
      <w:numFmt w:val="chineseCounting"/>
      <w:suff w:val="nothing"/>
      <w:lvlText w:val="（%1）"/>
      <w:lvlJc w:val="left"/>
    </w:lvl>
  </w:abstractNum>
  <w:abstractNum w:abstractNumId="5">
    <w:nsid w:val="65DD85EB"/>
    <w:multiLevelType w:val="singleLevel"/>
    <w:tmpl w:val="65DD85EB"/>
    <w:lvl w:ilvl="0" w:tentative="0">
      <w:start w:val="3"/>
      <w:numFmt w:val="decimal"/>
      <w:suff w:val="nothing"/>
      <w:lvlText w:val="%1."/>
      <w:lvlJc w:val="left"/>
    </w:lvl>
  </w:abstractNum>
  <w:abstractNum w:abstractNumId="6">
    <w:nsid w:val="65DEDA06"/>
    <w:multiLevelType w:val="singleLevel"/>
    <w:tmpl w:val="65DEDA06"/>
    <w:lvl w:ilvl="0" w:tentative="0">
      <w:start w:val="1"/>
      <w:numFmt w:val="decimal"/>
      <w:suff w:val="nothing"/>
      <w:lvlText w:val="%1."/>
      <w:lvlJc w:val="left"/>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B6E7E"/>
    <w:rsid w:val="00381B31"/>
    <w:rsid w:val="0073641A"/>
    <w:rsid w:val="007C715D"/>
    <w:rsid w:val="00BD71CB"/>
    <w:rsid w:val="00C60A2B"/>
    <w:rsid w:val="010755DA"/>
    <w:rsid w:val="013F6F38"/>
    <w:rsid w:val="01461016"/>
    <w:rsid w:val="01683E98"/>
    <w:rsid w:val="01964006"/>
    <w:rsid w:val="01BD1473"/>
    <w:rsid w:val="022C2CC1"/>
    <w:rsid w:val="025F663C"/>
    <w:rsid w:val="02B5735D"/>
    <w:rsid w:val="03336C04"/>
    <w:rsid w:val="03B4383F"/>
    <w:rsid w:val="0460504C"/>
    <w:rsid w:val="048668F6"/>
    <w:rsid w:val="04F518B0"/>
    <w:rsid w:val="0583249D"/>
    <w:rsid w:val="05B82061"/>
    <w:rsid w:val="06D71050"/>
    <w:rsid w:val="071F6151"/>
    <w:rsid w:val="07936D4A"/>
    <w:rsid w:val="07CE07AA"/>
    <w:rsid w:val="07D70D5C"/>
    <w:rsid w:val="083976C2"/>
    <w:rsid w:val="083D5A82"/>
    <w:rsid w:val="084834F5"/>
    <w:rsid w:val="085000DD"/>
    <w:rsid w:val="085773B2"/>
    <w:rsid w:val="08D81AD5"/>
    <w:rsid w:val="08F56743"/>
    <w:rsid w:val="0916453F"/>
    <w:rsid w:val="09A910B5"/>
    <w:rsid w:val="09BD0A4E"/>
    <w:rsid w:val="0A0A502B"/>
    <w:rsid w:val="0A3131FC"/>
    <w:rsid w:val="0A4A53E7"/>
    <w:rsid w:val="0A654F2D"/>
    <w:rsid w:val="0A7F76C6"/>
    <w:rsid w:val="0A8B1A4B"/>
    <w:rsid w:val="0AA10B2B"/>
    <w:rsid w:val="0AF11569"/>
    <w:rsid w:val="0B024E69"/>
    <w:rsid w:val="0B735222"/>
    <w:rsid w:val="0C6847D8"/>
    <w:rsid w:val="0C8E6DEC"/>
    <w:rsid w:val="0CCE3B4A"/>
    <w:rsid w:val="0CD629BA"/>
    <w:rsid w:val="0D6A5271"/>
    <w:rsid w:val="0D7D0A7B"/>
    <w:rsid w:val="0DA41150"/>
    <w:rsid w:val="0DC26BEF"/>
    <w:rsid w:val="0DE23C63"/>
    <w:rsid w:val="0E4677F8"/>
    <w:rsid w:val="0E6935F6"/>
    <w:rsid w:val="0EAD1D8C"/>
    <w:rsid w:val="0EF33EBB"/>
    <w:rsid w:val="0FC72A8B"/>
    <w:rsid w:val="0FF3159C"/>
    <w:rsid w:val="105B0AB0"/>
    <w:rsid w:val="10E9343B"/>
    <w:rsid w:val="111C469D"/>
    <w:rsid w:val="11CE23AA"/>
    <w:rsid w:val="11DE1B5D"/>
    <w:rsid w:val="11DE2DCE"/>
    <w:rsid w:val="12093276"/>
    <w:rsid w:val="12184A6F"/>
    <w:rsid w:val="12394BE7"/>
    <w:rsid w:val="12F83A45"/>
    <w:rsid w:val="12F9014C"/>
    <w:rsid w:val="130F2D87"/>
    <w:rsid w:val="136D07ED"/>
    <w:rsid w:val="138C41B1"/>
    <w:rsid w:val="13931304"/>
    <w:rsid w:val="13FF0BE1"/>
    <w:rsid w:val="142030F6"/>
    <w:rsid w:val="14432D07"/>
    <w:rsid w:val="146474A5"/>
    <w:rsid w:val="14F76B3B"/>
    <w:rsid w:val="15256E51"/>
    <w:rsid w:val="154A2FA7"/>
    <w:rsid w:val="15900182"/>
    <w:rsid w:val="15AC4083"/>
    <w:rsid w:val="160B2E20"/>
    <w:rsid w:val="164A6C02"/>
    <w:rsid w:val="16615EE1"/>
    <w:rsid w:val="1692432F"/>
    <w:rsid w:val="16A34F61"/>
    <w:rsid w:val="171307C9"/>
    <w:rsid w:val="17255839"/>
    <w:rsid w:val="17FD30D1"/>
    <w:rsid w:val="182A4970"/>
    <w:rsid w:val="18461C5C"/>
    <w:rsid w:val="184808E8"/>
    <w:rsid w:val="185A17F9"/>
    <w:rsid w:val="18A878A7"/>
    <w:rsid w:val="19102BBB"/>
    <w:rsid w:val="19244075"/>
    <w:rsid w:val="19463A50"/>
    <w:rsid w:val="19534FCC"/>
    <w:rsid w:val="198778CF"/>
    <w:rsid w:val="198E7BEA"/>
    <w:rsid w:val="19E325C8"/>
    <w:rsid w:val="1A575E09"/>
    <w:rsid w:val="1A8F05F7"/>
    <w:rsid w:val="1ABC4000"/>
    <w:rsid w:val="1ADC1F00"/>
    <w:rsid w:val="1B262B93"/>
    <w:rsid w:val="1B3A37B0"/>
    <w:rsid w:val="1B3F36D2"/>
    <w:rsid w:val="1B5A6425"/>
    <w:rsid w:val="1B623565"/>
    <w:rsid w:val="1B6D0CCC"/>
    <w:rsid w:val="1BA660BC"/>
    <w:rsid w:val="1BC87758"/>
    <w:rsid w:val="1C41134D"/>
    <w:rsid w:val="1C4F3E8E"/>
    <w:rsid w:val="1CA915DC"/>
    <w:rsid w:val="1D0A5AE7"/>
    <w:rsid w:val="1D700778"/>
    <w:rsid w:val="1F5B5CB6"/>
    <w:rsid w:val="1F9252BE"/>
    <w:rsid w:val="1FD728DE"/>
    <w:rsid w:val="20A22103"/>
    <w:rsid w:val="20DB66ED"/>
    <w:rsid w:val="2152527C"/>
    <w:rsid w:val="21840963"/>
    <w:rsid w:val="226F238F"/>
    <w:rsid w:val="227907F4"/>
    <w:rsid w:val="22C91718"/>
    <w:rsid w:val="23406D25"/>
    <w:rsid w:val="23B12C9D"/>
    <w:rsid w:val="23C30986"/>
    <w:rsid w:val="240B6C42"/>
    <w:rsid w:val="24137774"/>
    <w:rsid w:val="24853549"/>
    <w:rsid w:val="24937CD4"/>
    <w:rsid w:val="24C31F9E"/>
    <w:rsid w:val="2523090E"/>
    <w:rsid w:val="254C1C6D"/>
    <w:rsid w:val="25677067"/>
    <w:rsid w:val="259C2B4B"/>
    <w:rsid w:val="25AF4837"/>
    <w:rsid w:val="25DE0F72"/>
    <w:rsid w:val="268D5043"/>
    <w:rsid w:val="26E313C3"/>
    <w:rsid w:val="26F807B3"/>
    <w:rsid w:val="270E08FB"/>
    <w:rsid w:val="278A3FAB"/>
    <w:rsid w:val="27B61B38"/>
    <w:rsid w:val="28D51A7C"/>
    <w:rsid w:val="293E2DA9"/>
    <w:rsid w:val="29A80C67"/>
    <w:rsid w:val="29E40E43"/>
    <w:rsid w:val="2A223D00"/>
    <w:rsid w:val="2A346546"/>
    <w:rsid w:val="2A7A1F69"/>
    <w:rsid w:val="2A933184"/>
    <w:rsid w:val="2AC16D08"/>
    <w:rsid w:val="2ADA09DB"/>
    <w:rsid w:val="2B097369"/>
    <w:rsid w:val="2BE83A72"/>
    <w:rsid w:val="2C4161B0"/>
    <w:rsid w:val="2C7E29C6"/>
    <w:rsid w:val="2CAE697D"/>
    <w:rsid w:val="2CC53533"/>
    <w:rsid w:val="2D023E0E"/>
    <w:rsid w:val="2D66381B"/>
    <w:rsid w:val="2D6F5BC1"/>
    <w:rsid w:val="2D8A303D"/>
    <w:rsid w:val="2DA862D8"/>
    <w:rsid w:val="2DD57B15"/>
    <w:rsid w:val="2E583FDB"/>
    <w:rsid w:val="2E5C7474"/>
    <w:rsid w:val="2E7A1994"/>
    <w:rsid w:val="2E835754"/>
    <w:rsid w:val="2E840F05"/>
    <w:rsid w:val="2EA22F02"/>
    <w:rsid w:val="2EE16397"/>
    <w:rsid w:val="2F552DDA"/>
    <w:rsid w:val="2F9335AD"/>
    <w:rsid w:val="2FB541AF"/>
    <w:rsid w:val="30293EED"/>
    <w:rsid w:val="302F3426"/>
    <w:rsid w:val="307B0A10"/>
    <w:rsid w:val="30A938CE"/>
    <w:rsid w:val="30C42FDD"/>
    <w:rsid w:val="30D31F00"/>
    <w:rsid w:val="30F823C9"/>
    <w:rsid w:val="319858DC"/>
    <w:rsid w:val="31AE3DCD"/>
    <w:rsid w:val="31F34B7A"/>
    <w:rsid w:val="326057C5"/>
    <w:rsid w:val="326531DE"/>
    <w:rsid w:val="3289725D"/>
    <w:rsid w:val="32A74A41"/>
    <w:rsid w:val="333009F5"/>
    <w:rsid w:val="33961D70"/>
    <w:rsid w:val="340A1270"/>
    <w:rsid w:val="344666B2"/>
    <w:rsid w:val="34BA741C"/>
    <w:rsid w:val="34F56F97"/>
    <w:rsid w:val="35095BFF"/>
    <w:rsid w:val="3525797B"/>
    <w:rsid w:val="357A1086"/>
    <w:rsid w:val="36454296"/>
    <w:rsid w:val="36583A2D"/>
    <w:rsid w:val="366E7171"/>
    <w:rsid w:val="36A40628"/>
    <w:rsid w:val="3731076A"/>
    <w:rsid w:val="383F4CF5"/>
    <w:rsid w:val="38557D1E"/>
    <w:rsid w:val="38C30958"/>
    <w:rsid w:val="39437A63"/>
    <w:rsid w:val="397A48A7"/>
    <w:rsid w:val="39BD6069"/>
    <w:rsid w:val="3A374BD1"/>
    <w:rsid w:val="3A5E70C3"/>
    <w:rsid w:val="3AB82D70"/>
    <w:rsid w:val="3B537E15"/>
    <w:rsid w:val="3B9E37EE"/>
    <w:rsid w:val="3BEA27DC"/>
    <w:rsid w:val="3BFC7EF3"/>
    <w:rsid w:val="3C842352"/>
    <w:rsid w:val="3CAF1861"/>
    <w:rsid w:val="3CE67B48"/>
    <w:rsid w:val="3CFE6F96"/>
    <w:rsid w:val="3D897BA5"/>
    <w:rsid w:val="3D922EE3"/>
    <w:rsid w:val="3DD31C1D"/>
    <w:rsid w:val="3E832129"/>
    <w:rsid w:val="3ED103A9"/>
    <w:rsid w:val="3ED63F30"/>
    <w:rsid w:val="3F0F723C"/>
    <w:rsid w:val="3FC843C7"/>
    <w:rsid w:val="405773BD"/>
    <w:rsid w:val="4079727C"/>
    <w:rsid w:val="407C3319"/>
    <w:rsid w:val="40B93C1C"/>
    <w:rsid w:val="41143301"/>
    <w:rsid w:val="41441400"/>
    <w:rsid w:val="416160C1"/>
    <w:rsid w:val="41A116B4"/>
    <w:rsid w:val="422C3097"/>
    <w:rsid w:val="427B2AC6"/>
    <w:rsid w:val="42814E6C"/>
    <w:rsid w:val="42B5563A"/>
    <w:rsid w:val="42B64CFA"/>
    <w:rsid w:val="42F546FB"/>
    <w:rsid w:val="431365AF"/>
    <w:rsid w:val="432E4514"/>
    <w:rsid w:val="4332502D"/>
    <w:rsid w:val="43CB7599"/>
    <w:rsid w:val="441B5CAF"/>
    <w:rsid w:val="44E00905"/>
    <w:rsid w:val="44E53A8B"/>
    <w:rsid w:val="450D6198"/>
    <w:rsid w:val="458E3694"/>
    <w:rsid w:val="45B160A9"/>
    <w:rsid w:val="45C61503"/>
    <w:rsid w:val="46051AFC"/>
    <w:rsid w:val="46076B21"/>
    <w:rsid w:val="461D2C44"/>
    <w:rsid w:val="47191865"/>
    <w:rsid w:val="47AF0C57"/>
    <w:rsid w:val="47D65B56"/>
    <w:rsid w:val="47DA5EE8"/>
    <w:rsid w:val="482D0965"/>
    <w:rsid w:val="48DF4593"/>
    <w:rsid w:val="4909074E"/>
    <w:rsid w:val="492B7D6A"/>
    <w:rsid w:val="49425A26"/>
    <w:rsid w:val="494D34FD"/>
    <w:rsid w:val="49CB6E7E"/>
    <w:rsid w:val="4AA92C1D"/>
    <w:rsid w:val="4B127381"/>
    <w:rsid w:val="4B1575E0"/>
    <w:rsid w:val="4B212FA6"/>
    <w:rsid w:val="4B2C2D68"/>
    <w:rsid w:val="4B7A7B56"/>
    <w:rsid w:val="4B853D3C"/>
    <w:rsid w:val="4BCA7806"/>
    <w:rsid w:val="4BFD0AA6"/>
    <w:rsid w:val="4C016330"/>
    <w:rsid w:val="4CA805AB"/>
    <w:rsid w:val="4CCF0E1C"/>
    <w:rsid w:val="4D034C28"/>
    <w:rsid w:val="4E2C6E48"/>
    <w:rsid w:val="4EBC610D"/>
    <w:rsid w:val="4EE15C86"/>
    <w:rsid w:val="4EEA7F0A"/>
    <w:rsid w:val="4F0F3D45"/>
    <w:rsid w:val="4F110765"/>
    <w:rsid w:val="4F1A5668"/>
    <w:rsid w:val="4F395204"/>
    <w:rsid w:val="50197A26"/>
    <w:rsid w:val="509D3EA8"/>
    <w:rsid w:val="50C31C4D"/>
    <w:rsid w:val="51162626"/>
    <w:rsid w:val="513863AE"/>
    <w:rsid w:val="518F3CA2"/>
    <w:rsid w:val="51AD1E4A"/>
    <w:rsid w:val="51D30BFA"/>
    <w:rsid w:val="520017FF"/>
    <w:rsid w:val="520D2E47"/>
    <w:rsid w:val="52115469"/>
    <w:rsid w:val="52173DDB"/>
    <w:rsid w:val="522E0BBF"/>
    <w:rsid w:val="52DA4B80"/>
    <w:rsid w:val="52DD58D7"/>
    <w:rsid w:val="53BF4630"/>
    <w:rsid w:val="544676BC"/>
    <w:rsid w:val="549C14C5"/>
    <w:rsid w:val="54AA7B55"/>
    <w:rsid w:val="54CA42F6"/>
    <w:rsid w:val="55346473"/>
    <w:rsid w:val="55913545"/>
    <w:rsid w:val="55975300"/>
    <w:rsid w:val="56524410"/>
    <w:rsid w:val="56D76DA8"/>
    <w:rsid w:val="56F71965"/>
    <w:rsid w:val="573D77D9"/>
    <w:rsid w:val="57F639A0"/>
    <w:rsid w:val="58124AC7"/>
    <w:rsid w:val="589A3C82"/>
    <w:rsid w:val="58A65525"/>
    <w:rsid w:val="58BF5129"/>
    <w:rsid w:val="59176B21"/>
    <w:rsid w:val="59306FC9"/>
    <w:rsid w:val="598A179D"/>
    <w:rsid w:val="59F42C70"/>
    <w:rsid w:val="5A416AD2"/>
    <w:rsid w:val="5A847247"/>
    <w:rsid w:val="5A86518F"/>
    <w:rsid w:val="5AAC6973"/>
    <w:rsid w:val="5B0D5378"/>
    <w:rsid w:val="5B6C541E"/>
    <w:rsid w:val="5C156DFC"/>
    <w:rsid w:val="5C2B22AB"/>
    <w:rsid w:val="5C8F6840"/>
    <w:rsid w:val="5C92129E"/>
    <w:rsid w:val="5CAC2DBB"/>
    <w:rsid w:val="5CAC31EA"/>
    <w:rsid w:val="5D196DA5"/>
    <w:rsid w:val="5D1F30C1"/>
    <w:rsid w:val="5D535D98"/>
    <w:rsid w:val="5D8B326C"/>
    <w:rsid w:val="5E18153F"/>
    <w:rsid w:val="5E545EB7"/>
    <w:rsid w:val="5E7B347A"/>
    <w:rsid w:val="5EDA142E"/>
    <w:rsid w:val="5FA92FC3"/>
    <w:rsid w:val="60093983"/>
    <w:rsid w:val="60143EEC"/>
    <w:rsid w:val="603226FF"/>
    <w:rsid w:val="60455AB5"/>
    <w:rsid w:val="60825EF2"/>
    <w:rsid w:val="60BA1EB1"/>
    <w:rsid w:val="612A646B"/>
    <w:rsid w:val="613A7219"/>
    <w:rsid w:val="616A1FB0"/>
    <w:rsid w:val="61A258C3"/>
    <w:rsid w:val="61C4030E"/>
    <w:rsid w:val="621A58B4"/>
    <w:rsid w:val="625F4B42"/>
    <w:rsid w:val="62834479"/>
    <w:rsid w:val="62B144A4"/>
    <w:rsid w:val="631F341B"/>
    <w:rsid w:val="634C0E35"/>
    <w:rsid w:val="6361380C"/>
    <w:rsid w:val="63695B10"/>
    <w:rsid w:val="63BB4990"/>
    <w:rsid w:val="63D9308A"/>
    <w:rsid w:val="641160A6"/>
    <w:rsid w:val="64337D3F"/>
    <w:rsid w:val="64484323"/>
    <w:rsid w:val="644A3E3B"/>
    <w:rsid w:val="644D41C7"/>
    <w:rsid w:val="64F978D0"/>
    <w:rsid w:val="65B4462B"/>
    <w:rsid w:val="65FC54F8"/>
    <w:rsid w:val="667B1085"/>
    <w:rsid w:val="66A81235"/>
    <w:rsid w:val="66B21081"/>
    <w:rsid w:val="66B831BA"/>
    <w:rsid w:val="66CC21B8"/>
    <w:rsid w:val="66DC76F2"/>
    <w:rsid w:val="673A36CE"/>
    <w:rsid w:val="681A7B2F"/>
    <w:rsid w:val="685C6537"/>
    <w:rsid w:val="687F11D1"/>
    <w:rsid w:val="688D554C"/>
    <w:rsid w:val="68975C4C"/>
    <w:rsid w:val="69283CA0"/>
    <w:rsid w:val="69343D73"/>
    <w:rsid w:val="698F00A8"/>
    <w:rsid w:val="6995535C"/>
    <w:rsid w:val="69C92E6D"/>
    <w:rsid w:val="6A1E350D"/>
    <w:rsid w:val="6A602698"/>
    <w:rsid w:val="6B856D96"/>
    <w:rsid w:val="6C383298"/>
    <w:rsid w:val="6CAE1B2E"/>
    <w:rsid w:val="6D70539E"/>
    <w:rsid w:val="6D8E2ABE"/>
    <w:rsid w:val="6D9B64E7"/>
    <w:rsid w:val="6DBF5A09"/>
    <w:rsid w:val="6DF3036D"/>
    <w:rsid w:val="6E051D11"/>
    <w:rsid w:val="6E220701"/>
    <w:rsid w:val="6E333B88"/>
    <w:rsid w:val="6E372C15"/>
    <w:rsid w:val="6E714CBC"/>
    <w:rsid w:val="6EA34FF0"/>
    <w:rsid w:val="6EB50489"/>
    <w:rsid w:val="6EB73097"/>
    <w:rsid w:val="6F0653C2"/>
    <w:rsid w:val="6F144690"/>
    <w:rsid w:val="6F3F3FC4"/>
    <w:rsid w:val="6F666830"/>
    <w:rsid w:val="6F8413C3"/>
    <w:rsid w:val="6F84218A"/>
    <w:rsid w:val="6FE20C0A"/>
    <w:rsid w:val="6FFF5BF2"/>
    <w:rsid w:val="702A0FE1"/>
    <w:rsid w:val="707C18D5"/>
    <w:rsid w:val="714649F2"/>
    <w:rsid w:val="71750E48"/>
    <w:rsid w:val="71851399"/>
    <w:rsid w:val="71DF29E0"/>
    <w:rsid w:val="723A5618"/>
    <w:rsid w:val="72E51FFE"/>
    <w:rsid w:val="732A0BAC"/>
    <w:rsid w:val="738A31B2"/>
    <w:rsid w:val="73C9241E"/>
    <w:rsid w:val="73D855EC"/>
    <w:rsid w:val="747E70CC"/>
    <w:rsid w:val="74B55037"/>
    <w:rsid w:val="74FD7D2F"/>
    <w:rsid w:val="75373E0F"/>
    <w:rsid w:val="753977BC"/>
    <w:rsid w:val="756319F9"/>
    <w:rsid w:val="75671FE3"/>
    <w:rsid w:val="75727A79"/>
    <w:rsid w:val="758F18FF"/>
    <w:rsid w:val="76400C3B"/>
    <w:rsid w:val="76931DFC"/>
    <w:rsid w:val="76EA55B1"/>
    <w:rsid w:val="76F964B7"/>
    <w:rsid w:val="77177E34"/>
    <w:rsid w:val="77671852"/>
    <w:rsid w:val="77941681"/>
    <w:rsid w:val="77C92B8B"/>
    <w:rsid w:val="77E01D67"/>
    <w:rsid w:val="780D4606"/>
    <w:rsid w:val="786A5463"/>
    <w:rsid w:val="789A0BC9"/>
    <w:rsid w:val="790D5E3B"/>
    <w:rsid w:val="79B970CC"/>
    <w:rsid w:val="7A2E02EA"/>
    <w:rsid w:val="7A437E8A"/>
    <w:rsid w:val="7A4B025D"/>
    <w:rsid w:val="7A8566E1"/>
    <w:rsid w:val="7B037164"/>
    <w:rsid w:val="7B2F7CCD"/>
    <w:rsid w:val="7B6A1379"/>
    <w:rsid w:val="7B7C7359"/>
    <w:rsid w:val="7B7F1323"/>
    <w:rsid w:val="7B816DED"/>
    <w:rsid w:val="7C616EFB"/>
    <w:rsid w:val="7C703B1A"/>
    <w:rsid w:val="7CC94B3A"/>
    <w:rsid w:val="7CE63E8E"/>
    <w:rsid w:val="7D863966"/>
    <w:rsid w:val="7DB03B93"/>
    <w:rsid w:val="7E136A9A"/>
    <w:rsid w:val="7E376F10"/>
    <w:rsid w:val="7E3D6BB6"/>
    <w:rsid w:val="7E5858F5"/>
    <w:rsid w:val="7E723674"/>
    <w:rsid w:val="7E9A2752"/>
    <w:rsid w:val="7EE003A5"/>
    <w:rsid w:val="7F0A1504"/>
    <w:rsid w:val="7F171BF2"/>
    <w:rsid w:val="7F24116F"/>
    <w:rsid w:val="7FDD7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2024-02-23T01:12:00Z</dcterms:created>
  <dc:creator>Administrator</dc:creator>
  <cp:lastModifiedBy>Administrator</cp:lastModifiedBy>
  <dcterms:modified xsi:type="dcterms:W3CDTF">2024-02-28T06:58:22Z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