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84"/>
          <w:szCs w:val="84"/>
        </w:rPr>
      </w:pPr>
      <w:r>
        <w:rPr>
          <w:rFonts w:hint="eastAsia" w:asciiTheme="majorEastAsia" w:hAnsiTheme="majorEastAsia" w:eastAsiaTheme="majorEastAsia" w:cstheme="majorEastAsia"/>
          <w:sz w:val="84"/>
          <w:szCs w:val="84"/>
          <w:lang w:val="en-US" w:eastAsia="zh-CN"/>
        </w:rPr>
        <w:t>2021</w:t>
      </w:r>
      <w:r>
        <w:rPr>
          <w:rFonts w:hint="eastAsia" w:asciiTheme="majorEastAsia" w:hAnsiTheme="majorEastAsia" w:eastAsiaTheme="majorEastAsia" w:cstheme="majorEastAsia"/>
          <w:sz w:val="84"/>
          <w:szCs w:val="84"/>
        </w:rPr>
        <w:t>年</w:t>
      </w:r>
      <w:r>
        <w:rPr>
          <w:rFonts w:hint="eastAsia" w:asciiTheme="majorEastAsia" w:hAnsiTheme="majorEastAsia" w:eastAsiaTheme="majorEastAsia" w:cstheme="majorEastAsia"/>
          <w:sz w:val="84"/>
          <w:szCs w:val="84"/>
          <w:lang w:val="en-US" w:eastAsia="zh-CN"/>
        </w:rPr>
        <w:t>美兰区新埠街道党建工作站</w:t>
      </w:r>
      <w:r>
        <w:rPr>
          <w:rFonts w:hint="eastAsia" w:asciiTheme="majorEastAsia" w:hAnsiTheme="majorEastAsia" w:eastAsiaTheme="majorEastAsia" w:cstheme="majorEastAsia"/>
          <w:sz w:val="84"/>
          <w:szCs w:val="84"/>
          <w:lang w:eastAsia="zh-CN"/>
        </w:rPr>
        <w:t>单位</w:t>
      </w:r>
      <w:r>
        <w:rPr>
          <w:rFonts w:hint="eastAsia" w:asciiTheme="majorEastAsia" w:hAnsiTheme="majorEastAsia" w:eastAsiaTheme="majorEastAsia" w:cstheme="major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美兰区新埠街道党建工作站</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美兰区新埠街道党建工作站2021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美兰区新埠街道党建工作站2021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名词解释</w:t>
      </w:r>
    </w:p>
    <w:p>
      <w:pPr>
        <w:pStyle w:val="6"/>
        <w:widowControl w:val="0"/>
        <w:numPr>
          <w:ilvl w:val="0"/>
          <w:numId w:val="0"/>
        </w:numPr>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美兰区新埠街道党建工作站</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jc w:val="left"/>
        <w:rPr>
          <w:rFonts w:ascii="仿宋_GB2312" w:hAnsi="黑体" w:eastAsia="仿宋_GB2312"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w:t>
      </w:r>
      <w:r>
        <w:rPr>
          <w:rFonts w:hint="eastAsia" w:ascii="黑体" w:hAnsi="黑体" w:eastAsia="黑体" w:cs="仿宋_GB2312"/>
          <w:sz w:val="32"/>
          <w:szCs w:val="32"/>
          <w:lang w:eastAsia="zh-CN"/>
        </w:rPr>
        <w:t>能</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掌握</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内"两新"组织党组织状况和党员数量，建立健全登记备案制度。</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rPr>
        <w:t>开展党组织和党员队伍状况调研，制定符合商务楼宇特点的党建工作相关机制。</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帮助具备条件的"两新"组织建立党组织，指导其开展党建工作</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负责向</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内的"两新"组织党组织和党员宣传党的路线、方针、政策，及时掌握党员思想动态</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五</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为</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内"两新"组织党员、入党积极分子提供政策咨询和服务指导</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倾听党员呼声，反映党员诉求，积极与街道、乡镇等有关部门进行协商解决</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帮助党员接转组织关系，协调党员参加党的组织生活，督促党员自觉履行义务和正确行使权利</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八</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查验《流动党员活动证》，做好身份确认及登记工作，将流动党员编入党的基层组织，为其参加党的组织生活提供服务</w:t>
      </w:r>
      <w:r>
        <w:rPr>
          <w:rFonts w:hint="eastAsia" w:ascii="仿宋_GB2312" w:hAnsi="黑体" w:eastAsia="仿宋_GB2312" w:cs="仿宋_GB2312"/>
          <w:sz w:val="32"/>
          <w:szCs w:val="32"/>
          <w:lang w:eastAsia="zh-CN"/>
        </w:rPr>
        <w:t>；</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九</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开展</w:t>
      </w:r>
      <w:r>
        <w:rPr>
          <w:rFonts w:hint="eastAsia" w:ascii="仿宋_GB2312" w:hAnsi="黑体" w:eastAsia="仿宋_GB2312" w:cs="仿宋_GB2312"/>
          <w:sz w:val="32"/>
          <w:szCs w:val="32"/>
          <w:lang w:val="en-US" w:eastAsia="zh-CN"/>
        </w:rPr>
        <w:t>新埠街道</w:t>
      </w:r>
      <w:r>
        <w:rPr>
          <w:rFonts w:hint="eastAsia" w:ascii="仿宋_GB2312" w:hAnsi="黑体" w:eastAsia="仿宋_GB2312" w:cs="仿宋_GB2312"/>
          <w:sz w:val="32"/>
          <w:szCs w:val="32"/>
        </w:rPr>
        <w:t>内"两新"组织党员参加的文体娱乐活动，搭建党员之间沟通交流平台</w:t>
      </w:r>
      <w:r>
        <w:rPr>
          <w:rFonts w:hint="eastAsia" w:ascii="仿宋_GB2312" w:hAnsi="黑体" w:eastAsia="仿宋_GB2312" w:cs="仿宋_GB2312"/>
          <w:sz w:val="32"/>
          <w:szCs w:val="32"/>
          <w:lang w:eastAsia="zh-CN"/>
        </w:rPr>
        <w:t>；</w:t>
      </w:r>
    </w:p>
    <w:p>
      <w:pPr>
        <w:jc w:val="center"/>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指导并帮助"两新"党组织做好党员发展及转正</w:t>
      </w:r>
      <w:r>
        <w:rPr>
          <w:rFonts w:hint="eastAsia" w:ascii="仿宋_GB2312" w:hAnsi="黑体" w:eastAsia="仿宋_GB2312" w:cs="仿宋_GB2312"/>
          <w:sz w:val="32"/>
          <w:szCs w:val="32"/>
          <w:lang w:eastAsia="zh-CN"/>
        </w:rPr>
        <w:t>。</w:t>
      </w: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美兰区新埠街道党建工作站</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部门或单位</w:t>
      </w:r>
      <w:r>
        <w:rPr>
          <w:rFonts w:hint="eastAsia" w:ascii="仿宋_GB2312" w:hAnsi="黑体" w:eastAsia="仿宋_GB2312"/>
          <w:b/>
          <w:sz w:val="32"/>
          <w:szCs w:val="32"/>
        </w:rPr>
        <w:t>预算公开表）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lang w:val="en-US" w:eastAsia="zh-CN"/>
        </w:rPr>
        <w:t>2021</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美兰区新埠街道党建工作站2021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34.50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4.80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4.98</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3.20</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0万元、预备费0万元、其他支出0万元、转移性支出0万元、债务还本支出0万元、债务付息支出0万元、债务发行费用支出0万元、抗疫特别国债安排的支出0万元、社会保险基金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5.74</w:t>
      </w:r>
      <w:r>
        <w:rPr>
          <w:rFonts w:hint="eastAsia" w:ascii="仿宋_GB2312" w:hAnsi="黑体" w:eastAsia="仿宋_GB2312"/>
          <w:sz w:val="32"/>
          <w:szCs w:val="32"/>
        </w:rPr>
        <w:t>万元，主要是一般公共服务、</w:t>
      </w:r>
      <w:r>
        <w:rPr>
          <w:rFonts w:hint="eastAsia" w:ascii="仿宋_GB2312" w:hAnsi="黑体" w:eastAsia="仿宋_GB2312"/>
          <w:sz w:val="32"/>
          <w:szCs w:val="32"/>
          <w:lang w:eastAsia="zh-CN"/>
        </w:rPr>
        <w:t>社会保障和就业、卫生健康、住房保障</w:t>
      </w:r>
      <w:r>
        <w:rPr>
          <w:rFonts w:hint="eastAsia" w:ascii="仿宋_GB2312" w:hAnsi="黑体" w:eastAsia="仿宋_GB2312"/>
          <w:sz w:val="32"/>
          <w:szCs w:val="32"/>
          <w:lang w:val="en-US" w:eastAsia="zh-CN"/>
        </w:rPr>
        <w:t>工作经费的投入。</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34.50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72.66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国防（类）支出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公共安全</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4.80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10.11</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color w:val="000000" w:themeColor="text1"/>
          <w:sz w:val="32"/>
          <w:szCs w:val="32"/>
          <w:lang w:val="en-US" w:eastAsia="zh-CN"/>
          <w14:textFill>
            <w14:solidFill>
              <w14:schemeClr w14:val="tx1"/>
            </w14:solidFill>
          </w14:textFill>
        </w:rPr>
        <w:t>4.98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10.49</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color w:val="000000" w:themeColor="text1"/>
          <w:sz w:val="32"/>
          <w:szCs w:val="32"/>
          <w:lang w:val="en-US" w:eastAsia="zh-CN"/>
          <w14:textFill>
            <w14:solidFill>
              <w14:schemeClr w14:val="tx1"/>
            </w14:solidFill>
          </w14:textFill>
        </w:rPr>
        <w:t>3.20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6.74</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0万元，占0%；灾害防治及应急管理（类）支出0万元，占0%；预备费（类）0万元，占0%；其他（类）支出0万元，占0%；转移性（类）支出0万元，占0%；债务还本（类）支出0万元，占0%；债务付息（类）支出0万元，占0%；债务发行费用（类）支出0万元，占0%；抗疫特别国债安排（类）支出0万元，占0%；社会保险基金（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numPr>
          <w:ilvl w:val="0"/>
          <w:numId w:val="5"/>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1.一般公共服务支出（类）组织事务（款）事业运行（项）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34.50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3.16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根据工作需要投入。</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2.社会保障和就业支出（类）行政事业单位养老支出（款）机关事业单位基本养老保险缴费支出（项）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4.80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增加1.29</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今年社保基数上调。</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3.卫生健康支出（类）行政事业单位医疗（款）事业单位医疗（项）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2.55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0.69</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今年社保基数上调。</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2.43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0.24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今年社保基数上调。</w:t>
      </w:r>
    </w:p>
    <w:p>
      <w:pPr>
        <w:ind w:firstLine="640" w:firstLineChars="200"/>
        <w:rPr>
          <w:rFonts w:hint="eastAsia" w:ascii="楷体" w:hAnsi="楷体" w:eastAsia="楷体"/>
          <w:sz w:val="32"/>
          <w:szCs w:val="32"/>
        </w:rPr>
      </w:pPr>
      <w:r>
        <w:rPr>
          <w:rFonts w:hint="eastAsia" w:ascii="仿宋_GB2312" w:hAnsi="黑体" w:eastAsia="仿宋_GB2312"/>
          <w:color w:val="000000" w:themeColor="text1"/>
          <w:sz w:val="32"/>
          <w:szCs w:val="32"/>
          <w:lang w:val="en-US" w:eastAsia="zh-CN"/>
          <w14:textFill>
            <w14:solidFill>
              <w14:schemeClr w14:val="tx1"/>
            </w14:solidFill>
          </w14:textFill>
        </w:rPr>
        <w:t>5. 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3.20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0.57</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主要是今年公积金基数的上调。</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highlight w:val="none"/>
          <w:lang w:val="en-US" w:eastAsia="zh-CN"/>
        </w:rPr>
        <w:t>2021</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44.92</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2.56</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美兰区新埠街道党建工作站2021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美兰区新埠街道党建工作站2021</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美兰区新埠街道党建工作站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47.48</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47.48万元</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w:t>
      </w:r>
      <w:r>
        <w:rPr>
          <w:rFonts w:hint="eastAsia" w:ascii="仿宋_GB2312" w:hAnsi="黑体" w:eastAsia="仿宋_GB2312"/>
          <w:sz w:val="32"/>
          <w:szCs w:val="32"/>
          <w:lang w:val="en-US" w:eastAsia="zh-CN"/>
        </w:rPr>
        <w:t>收入的增加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美兰区新埠街道党建工作站</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美兰区新埠街道党建工作站</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5.74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一般公共服务、社会保障和就业、卫生健康、住房保障</w:t>
      </w:r>
      <w:r>
        <w:rPr>
          <w:rFonts w:hint="eastAsia" w:ascii="仿宋_GB2312" w:hAnsi="黑体" w:eastAsia="仿宋_GB2312"/>
          <w:sz w:val="32"/>
          <w:szCs w:val="32"/>
          <w:lang w:val="en-US" w:eastAsia="zh-CN"/>
        </w:rPr>
        <w:t>工作经费的投入</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美兰区新埠街道党建工作站</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美兰区新埠街道党建工作站</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232275"/>
    <w:multiLevelType w:val="singleLevel"/>
    <w:tmpl w:val="37232275"/>
    <w:lvl w:ilvl="0" w:tentative="0">
      <w:start w:val="3"/>
      <w:numFmt w:val="chineseCounting"/>
      <w:suff w:val="nothing"/>
      <w:lvlText w:val="（%1）"/>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00CE8"/>
    <w:rsid w:val="05920382"/>
    <w:rsid w:val="0A7857A2"/>
    <w:rsid w:val="0C541C22"/>
    <w:rsid w:val="0C555F07"/>
    <w:rsid w:val="0CFB53D2"/>
    <w:rsid w:val="16C17E67"/>
    <w:rsid w:val="187639AD"/>
    <w:rsid w:val="1D771C2E"/>
    <w:rsid w:val="2EDE1E3B"/>
    <w:rsid w:val="310D2FB3"/>
    <w:rsid w:val="3D1A6967"/>
    <w:rsid w:val="3EF84BBF"/>
    <w:rsid w:val="41964846"/>
    <w:rsid w:val="41D82D7A"/>
    <w:rsid w:val="429F6470"/>
    <w:rsid w:val="484F1F1C"/>
    <w:rsid w:val="530F2480"/>
    <w:rsid w:val="637F1E35"/>
    <w:rsid w:val="6AFE6E27"/>
    <w:rsid w:val="6B6A19E7"/>
    <w:rsid w:val="77182068"/>
    <w:rsid w:val="787957BC"/>
    <w:rsid w:val="7B1373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dj-9</cp:lastModifiedBy>
  <cp:lastPrinted>2021-04-02T08:29:00Z</cp:lastPrinted>
  <dcterms:modified xsi:type="dcterms:W3CDTF">2022-09-01T09:39:53Z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EDCC2C4A3F3E49219251A93B2E3CF331</vt:lpwstr>
  </property>
</Properties>
</file>