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84"/>
          <w:szCs w:val="84"/>
          <w:lang w:val="en-US" w:eastAsia="zh-CN"/>
        </w:rPr>
      </w:pPr>
    </w:p>
    <w:p>
      <w:pPr>
        <w:jc w:val="center"/>
        <w:rPr>
          <w:rFonts w:hint="eastAsia" w:asciiTheme="majorEastAsia" w:hAnsiTheme="majorEastAsia" w:eastAsiaTheme="majorEastAsia" w:cstheme="majorEastAsia"/>
          <w:sz w:val="84"/>
          <w:szCs w:val="84"/>
          <w:lang w:val="en-US" w:eastAsia="zh-CN"/>
        </w:rPr>
      </w:pPr>
    </w:p>
    <w:p>
      <w:pPr>
        <w:jc w:val="center"/>
        <w:rPr>
          <w:sz w:val="52"/>
          <w:szCs w:val="52"/>
        </w:rPr>
      </w:pPr>
      <w:r>
        <w:rPr>
          <w:rFonts w:hint="eastAsia" w:asciiTheme="majorEastAsia" w:hAnsiTheme="majorEastAsia" w:eastAsiaTheme="majorEastAsia" w:cstheme="majorEastAsia"/>
          <w:b/>
          <w:bCs/>
          <w:sz w:val="84"/>
          <w:szCs w:val="84"/>
          <w:lang w:val="en-US" w:eastAsia="zh-CN"/>
        </w:rPr>
        <w:t>2021</w:t>
      </w:r>
      <w:r>
        <w:rPr>
          <w:rFonts w:hint="eastAsia" w:asciiTheme="majorEastAsia" w:hAnsiTheme="majorEastAsia" w:eastAsiaTheme="majorEastAsia" w:cstheme="majorEastAsia"/>
          <w:b/>
          <w:bCs/>
          <w:sz w:val="84"/>
          <w:szCs w:val="84"/>
        </w:rPr>
        <w:t>年</w:t>
      </w:r>
      <w:r>
        <w:rPr>
          <w:rFonts w:hint="eastAsia" w:asciiTheme="majorEastAsia" w:hAnsiTheme="majorEastAsia" w:eastAsiaTheme="majorEastAsia" w:cstheme="majorEastAsia"/>
          <w:b/>
          <w:bCs/>
          <w:sz w:val="84"/>
          <w:szCs w:val="84"/>
          <w:lang w:eastAsia="zh-CN"/>
        </w:rPr>
        <w:t>海口市美兰区灵山镇安全生产监督管理站</w:t>
      </w:r>
      <w:r>
        <w:rPr>
          <w:rFonts w:hint="eastAsia" w:asciiTheme="majorEastAsia" w:hAnsiTheme="majorEastAsia" w:eastAsiaTheme="majorEastAsia" w:cstheme="majorEastAsia"/>
          <w:b/>
          <w:bCs/>
          <w:sz w:val="84"/>
          <w:szCs w:val="84"/>
        </w:rPr>
        <w:t>单位预算</w:t>
      </w:r>
    </w:p>
    <w:p>
      <w:pPr>
        <w:ind w:firstLine="1680"/>
        <w:jc w:val="center"/>
        <w:rPr>
          <w:sz w:val="84"/>
          <w:szCs w:val="84"/>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15"/>
        <w:numPr>
          <w:ilvl w:val="0"/>
          <w:numId w:val="1"/>
        </w:numPr>
        <w:ind w:firstLineChars="0"/>
        <w:jc w:val="left"/>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海口市美兰区灵山镇安全生产监督管理站</w:t>
      </w:r>
      <w:r>
        <w:rPr>
          <w:rFonts w:hint="eastAsia" w:ascii="黑体" w:hAnsi="黑体" w:eastAsia="黑体"/>
          <w:sz w:val="32"/>
          <w:szCs w:val="32"/>
        </w:rPr>
        <w:t>概况</w:t>
      </w:r>
    </w:p>
    <w:p>
      <w:pPr>
        <w:pStyle w:val="1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海口市美兰区灵山镇安全生产监督管理站</w:t>
      </w:r>
      <w:r>
        <w:rPr>
          <w:rFonts w:hint="eastAsia" w:ascii="黑体" w:hAnsi="黑体" w:eastAsia="黑体"/>
          <w:sz w:val="32"/>
          <w:szCs w:val="32"/>
          <w:lang w:val="en-US" w:eastAsia="zh-CN"/>
        </w:rPr>
        <w:t>2021</w:t>
      </w:r>
      <w:r>
        <w:rPr>
          <w:rFonts w:hint="eastAsia" w:ascii="黑体" w:hAnsi="黑体" w:eastAsia="黑体"/>
          <w:sz w:val="32"/>
          <w:szCs w:val="32"/>
        </w:rPr>
        <w:t>年单位预算表</w:t>
      </w:r>
    </w:p>
    <w:p>
      <w:pPr>
        <w:pStyle w:val="1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1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海口市美兰区灵山镇安全生产监督管理站</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年单位预算情况说明</w:t>
      </w:r>
    </w:p>
    <w:p>
      <w:pPr>
        <w:pStyle w:val="1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海口市美兰区灵山镇安全生产监督管理站</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5"/>
        <w:numPr>
          <w:numId w:val="0"/>
        </w:numPr>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jc w:val="left"/>
        <w:rPr>
          <w:rFonts w:hint="eastAsia" w:ascii="仿宋_GB2312" w:hAnsi="黑体" w:eastAsia="仿宋_GB2312" w:cs="宋体"/>
          <w:color w:val="000000"/>
          <w:kern w:val="0"/>
          <w:sz w:val="32"/>
          <w:szCs w:val="32"/>
          <w:lang w:val="en-US"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宋体"/>
          <w:color w:val="000000"/>
          <w:kern w:val="0"/>
          <w:sz w:val="32"/>
          <w:szCs w:val="32"/>
          <w:lang w:val="en-US" w:eastAsia="zh-CN"/>
        </w:rPr>
        <w:t xml:space="preserve"> 1、贯彻执行</w:t>
      </w:r>
      <w:r>
        <w:rPr>
          <w:rFonts w:hint="eastAsia" w:ascii="仿宋_GB2312" w:hAnsi="黑体" w:eastAsia="仿宋_GB2312" w:cs="宋体"/>
          <w:color w:val="000000"/>
          <w:kern w:val="0"/>
          <w:sz w:val="32"/>
          <w:szCs w:val="32"/>
          <w:lang w:val="en-US" w:eastAsia="zh-CN"/>
        </w:rPr>
        <w:fldChar w:fldCharType="begin"/>
      </w:r>
      <w:r>
        <w:rPr>
          <w:rFonts w:hint="eastAsia" w:ascii="仿宋_GB2312" w:hAnsi="黑体" w:eastAsia="仿宋_GB2312" w:cs="宋体"/>
          <w:color w:val="000000"/>
          <w:kern w:val="0"/>
          <w:sz w:val="32"/>
          <w:szCs w:val="32"/>
          <w:lang w:val="en-US" w:eastAsia="zh-CN"/>
        </w:rPr>
        <w:instrText xml:space="preserve"> HYPERLINK "https://www.oh100.com/zuowen/anquan/" \t "https://www.oh100.com/a/201704/_blank" </w:instrText>
      </w:r>
      <w:r>
        <w:rPr>
          <w:rFonts w:hint="eastAsia" w:ascii="仿宋_GB2312" w:hAnsi="黑体" w:eastAsia="仿宋_GB2312" w:cs="宋体"/>
          <w:color w:val="000000"/>
          <w:kern w:val="0"/>
          <w:sz w:val="32"/>
          <w:szCs w:val="32"/>
          <w:lang w:val="en-US" w:eastAsia="zh-CN"/>
        </w:rPr>
        <w:fldChar w:fldCharType="separate"/>
      </w:r>
      <w:r>
        <w:rPr>
          <w:rFonts w:hint="eastAsia" w:ascii="仿宋_GB2312" w:hAnsi="黑体" w:eastAsia="仿宋_GB2312" w:cs="宋体"/>
          <w:color w:val="000000"/>
          <w:kern w:val="0"/>
          <w:sz w:val="32"/>
          <w:szCs w:val="32"/>
          <w:lang w:val="en-US" w:eastAsia="zh-CN"/>
        </w:rPr>
        <w:t>安全</w:t>
      </w:r>
      <w:r>
        <w:rPr>
          <w:rFonts w:hint="eastAsia" w:ascii="仿宋_GB2312" w:hAnsi="黑体" w:eastAsia="仿宋_GB2312" w:cs="宋体"/>
          <w:color w:val="000000"/>
          <w:kern w:val="0"/>
          <w:sz w:val="32"/>
          <w:szCs w:val="32"/>
          <w:lang w:val="en-US" w:eastAsia="zh-CN"/>
        </w:rPr>
        <w:fldChar w:fldCharType="end"/>
      </w:r>
      <w:r>
        <w:rPr>
          <w:rFonts w:hint="eastAsia" w:ascii="仿宋_GB2312" w:hAnsi="黑体" w:eastAsia="仿宋_GB2312" w:cs="宋体"/>
          <w:color w:val="000000"/>
          <w:kern w:val="0"/>
          <w:sz w:val="32"/>
          <w:szCs w:val="32"/>
          <w:lang w:val="en-US" w:eastAsia="zh-CN"/>
        </w:rPr>
        <w:t>生产法律法规、规章、规范性文件，及安全生产责任制，并负责督促检查落实。</w:t>
      </w:r>
    </w:p>
    <w:p>
      <w:pPr>
        <w:ind w:firstLine="640" w:firstLineChars="200"/>
        <w:jc w:val="left"/>
        <w:rPr>
          <w:rFonts w:hint="eastAsia"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val="en-US" w:eastAsia="zh-CN"/>
        </w:rPr>
        <w:t>2、组织开展经常性的安全检查，督促整改事故隐患。对重点行业、重点部位、重要环节、重要时期要落实“一盯一”督促检查责任，严防死守。</w:t>
      </w:r>
    </w:p>
    <w:p>
      <w:pPr>
        <w:ind w:firstLine="640" w:firstLineChars="200"/>
        <w:jc w:val="left"/>
        <w:rPr>
          <w:rFonts w:hint="eastAsia"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val="en-US" w:eastAsia="zh-CN"/>
        </w:rPr>
        <w:t>3、建立健全各类安全生产综合管理台账、资料、记录和数据统计，按相关规定及时收集和上报各类安全生产信息和统计资料。</w:t>
      </w:r>
    </w:p>
    <w:p>
      <w:pPr>
        <w:ind w:firstLine="640" w:firstLineChars="200"/>
        <w:jc w:val="left"/>
        <w:rPr>
          <w:rFonts w:hint="eastAsia"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val="en-US" w:eastAsia="zh-CN"/>
        </w:rPr>
        <w:t>5、协助上级安监部门进行事故调查，组织或协助事故单位做好善后处理工作。</w:t>
      </w:r>
    </w:p>
    <w:p>
      <w:pPr>
        <w:ind w:firstLine="640" w:firstLineChars="200"/>
        <w:jc w:val="left"/>
        <w:rPr>
          <w:rFonts w:hint="eastAsia"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val="en-US" w:eastAsia="zh-CN"/>
        </w:rPr>
        <w:t>6、组织开展安全生产法律法规、方针政策宣传，开展行政区域内从业人员和群众的安全教育，对企业负责人、安全管理人员、特种作业人员接受培训、持证上岗情况进行检查。</w:t>
      </w:r>
    </w:p>
    <w:p>
      <w:pPr>
        <w:ind w:firstLine="640" w:firstLineChars="200"/>
        <w:jc w:val="left"/>
        <w:rPr>
          <w:rFonts w:hint="eastAsia"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val="en-US" w:eastAsia="zh-CN"/>
        </w:rPr>
        <w:t>7、指导管理村（社区）、企业安全管理人员工作。</w:t>
      </w:r>
    </w:p>
    <w:p>
      <w:pPr>
        <w:ind w:firstLine="640" w:firstLineChars="200"/>
        <w:jc w:val="left"/>
        <w:rPr>
          <w:rFonts w:hint="eastAsia" w:ascii="仿宋_GB2312" w:hAnsi="黑体" w:eastAsia="仿宋_GB2312" w:cs="黑体"/>
          <w:kern w:val="2"/>
          <w:sz w:val="32"/>
          <w:szCs w:val="32"/>
          <w:lang w:val="en-US" w:eastAsia="zh-CN" w:bidi="ar-SA"/>
        </w:rPr>
      </w:pPr>
      <w:r>
        <w:rPr>
          <w:rFonts w:hint="eastAsia" w:ascii="仿宋_GB2312" w:hAnsi="黑体" w:eastAsia="仿宋_GB2312" w:cs="宋体"/>
          <w:color w:val="000000"/>
          <w:kern w:val="0"/>
          <w:sz w:val="32"/>
          <w:szCs w:val="32"/>
          <w:lang w:val="en-US" w:eastAsia="zh-CN"/>
        </w:rPr>
        <w:t>8、</w:t>
      </w:r>
      <w:r>
        <w:rPr>
          <w:rFonts w:hint="eastAsia" w:ascii="仿宋_GB2312" w:hAnsi="黑体" w:eastAsia="仿宋_GB2312" w:cs="宋体"/>
          <w:color w:val="000000"/>
          <w:kern w:val="0"/>
          <w:sz w:val="32"/>
          <w:szCs w:val="32"/>
        </w:rPr>
        <w:t>承办上级主管部门交办的其他工作</w:t>
      </w:r>
      <w:r>
        <w:rPr>
          <w:rFonts w:hint="eastAsia" w:ascii="仿宋_GB2312" w:hAnsi="黑体" w:eastAsia="仿宋_GB2312" w:cs="宋体"/>
          <w:color w:val="000000"/>
          <w:kern w:val="0"/>
          <w:sz w:val="32"/>
          <w:szCs w:val="32"/>
          <w:lang w:val="en-US" w:eastAsia="zh-CN"/>
        </w:rPr>
        <w:t>。</w:t>
      </w:r>
    </w:p>
    <w:p>
      <w:pPr>
        <w:pStyle w:val="15"/>
        <w:numPr>
          <w:ilvl w:val="0"/>
          <w:numId w:val="0"/>
        </w:numPr>
        <w:ind w:firstLine="640" w:firstLineChars="200"/>
        <w:jc w:val="left"/>
        <w:rPr>
          <w:rFonts w:hint="default" w:ascii="仿宋_GB2312" w:hAnsi="黑体" w:eastAsia="仿宋_GB2312" w:cs="仿宋_GB2312"/>
          <w:sz w:val="32"/>
          <w:szCs w:val="32"/>
          <w:lang w:val="en-US" w:eastAsia="zh-CN"/>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left="2558" w:leftChars="304" w:hanging="1920" w:hangingChars="6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海口市美兰区灵山镇安全生产监督管理站</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hint="eastAsia" w:ascii="黑体" w:hAnsi="黑体" w:eastAsia="黑体"/>
          <w:sz w:val="32"/>
          <w:szCs w:val="32"/>
        </w:rPr>
      </w:pPr>
      <w:bookmarkStart w:id="0" w:name="_GoBack"/>
      <w:bookmarkEnd w:id="0"/>
    </w:p>
    <w:p>
      <w:pPr>
        <w:rPr>
          <w:rFonts w:hint="eastAsia" w:ascii="黑体" w:hAnsi="黑体" w:eastAsia="黑体"/>
          <w:sz w:val="32"/>
          <w:szCs w:val="32"/>
        </w:rPr>
      </w:pPr>
    </w:p>
    <w:p>
      <w:pPr>
        <w:numPr>
          <w:ilvl w:val="0"/>
          <w:numId w:val="5"/>
        </w:numPr>
        <w:ind w:left="4158" w:leftChars="304" w:hanging="3520" w:hangingChars="110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海口市美兰区灵山镇安全生产监督管理站</w:t>
      </w:r>
    </w:p>
    <w:p>
      <w:pPr>
        <w:numPr>
          <w:numId w:val="0"/>
        </w:numPr>
        <w:ind w:leftChars="-796" w:firstLine="4160" w:firstLineChars="1300"/>
        <w:rPr>
          <w:rFonts w:ascii="黑体" w:hAnsi="黑体" w:eastAsia="黑体"/>
          <w:sz w:val="32"/>
          <w:szCs w:val="32"/>
        </w:rPr>
      </w:pPr>
      <w:r>
        <w:rPr>
          <w:rFonts w:hint="eastAsia" w:ascii="黑体" w:hAnsi="黑体" w:eastAsia="黑体"/>
          <w:sz w:val="32"/>
          <w:szCs w:val="32"/>
          <w:lang w:val="en-US" w:eastAsia="zh-CN"/>
        </w:rPr>
        <w:t>2021</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海口市美兰区灵山镇安全生产监督管理站</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海口市美兰区灵山镇安全生产监督管理站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lang w:val="en-US" w:eastAsia="zh-CN"/>
        </w:rPr>
        <w:t>3.68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2.55万元、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3.36万元、灾害防治及应急管理支出38.19万元，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海口市美兰区灵山镇安全生产监督管理站</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海口市美兰区灵山镇安全生产监督管理站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0.58</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根据今年安排的实际支出需求调整</w:t>
      </w:r>
      <w:r>
        <w:rPr>
          <w:rFonts w:hint="eastAsia" w:ascii="仿宋_GB2312" w:hAnsi="黑体" w:eastAsia="仿宋_GB2312"/>
          <w:sz w:val="32"/>
          <w:szCs w:val="32"/>
          <w:lang w:eastAsia="zh-CN"/>
        </w:rPr>
        <w:t>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3.68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7.70</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5.34</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7.03</w:t>
      </w:r>
      <w:r>
        <w:rPr>
          <w:rFonts w:hint="eastAsia" w:ascii="仿宋_GB2312" w:hAnsi="黑体" w:eastAsia="仿宋_GB2312"/>
          <w:sz w:val="32"/>
          <w:szCs w:val="32"/>
        </w:rPr>
        <w:t>%</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lang w:val="en-US" w:eastAsia="zh-CN"/>
        </w:rPr>
        <w:t>38.19万元，占79.93%</w:t>
      </w:r>
      <w:r>
        <w:rPr>
          <w:rFonts w:hint="eastAsia" w:ascii="仿宋_GB2312" w:hAnsi="黑体" w:eastAsia="仿宋_GB2312"/>
          <w:sz w:val="32"/>
          <w:szCs w:val="32"/>
          <w:lang w:eastAsia="zh-CN"/>
        </w:rPr>
        <w:t>。</w:t>
      </w:r>
    </w:p>
    <w:p>
      <w:pPr>
        <w:ind w:firstLine="640"/>
        <w:jc w:val="left"/>
        <w:rPr>
          <w:rFonts w:hint="default" w:ascii="仿宋_GB2312" w:hAnsi="黑体" w:eastAsia="仿宋_GB2312" w:cs="仿宋_GB2312"/>
          <w:sz w:val="32"/>
          <w:szCs w:val="32"/>
          <w:lang w:val="en-US" w:eastAsia="zh-CN"/>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0.18</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。预算数小于上年的主要原因：根据实际支出需求进行调减。</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0.14</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。预算数大于上年的主要原因：医疗补助基数调增。</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0.47</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。预算数大于上年的主要原因：公积金基数调增。</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4.灾害防治及应急管理支出（类）应急管理事务（款）事业运行（项）38.19万元，比上年预算数增加1.04万元。</w:t>
      </w:r>
      <w:r>
        <w:rPr>
          <w:rFonts w:hint="eastAsia" w:ascii="仿宋_GB2312" w:hAnsi="黑体" w:eastAsia="仿宋_GB2312" w:cs="仿宋_GB2312"/>
          <w:sz w:val="32"/>
          <w:szCs w:val="32"/>
          <w:lang w:eastAsia="zh-CN"/>
        </w:rPr>
        <w:t>预算数大于上年的主要原因：根据实际支出需求进行调增。</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海口市美兰区灵山镇安全生产监督管理站</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海口市美兰区灵山镇安全生产监督管理站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45.19</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绩效工资、机关事业单位基本养老保险缴费、职工基本医疗保险缴费、公务员医疗补助缴费、其他</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、医疗费、生活补助等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2.59</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海口市美兰区灵山镇</w:t>
      </w:r>
      <w:r>
        <w:rPr>
          <w:rFonts w:hint="eastAsia" w:ascii="黑体" w:hAnsi="黑体" w:eastAsia="黑体"/>
          <w:sz w:val="32"/>
          <w:szCs w:val="32"/>
          <w:lang w:eastAsia="zh-CN"/>
        </w:rPr>
        <w:t>安全生产监督管理站</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海口市美兰区灵山镇安全生产监督管理站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海口市美兰区灵山镇安全生产监督管理站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海口市美兰区灵山镇</w:t>
      </w:r>
      <w:r>
        <w:rPr>
          <w:rFonts w:hint="eastAsia" w:ascii="黑体" w:hAnsi="黑体" w:eastAsia="黑体"/>
          <w:sz w:val="32"/>
          <w:szCs w:val="32"/>
          <w:lang w:eastAsia="zh-CN"/>
        </w:rPr>
        <w:t>安全生产监督管理站</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海口市美兰区灵山镇安全生产监督管理站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海口市美兰区灵山镇安全生产监督管理站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海口市美兰区灵山镇安全生产监督管理站</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海口市美兰区灵山镇安全生产监督管理站</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海口市美兰区灵山镇安全生产监督管理站</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海口市美兰区灵山镇安全生产监督管理站</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海口市美兰区灵山镇安全生产监督管理站</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海口市美兰区灵山镇安全生产监督管理站</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0.58</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根据今年安排的实际支出需求调整</w:t>
      </w:r>
      <w:r>
        <w:rPr>
          <w:rFonts w:hint="eastAsia" w:ascii="仿宋_GB2312" w:hAnsi="黑体" w:eastAsia="仿宋_GB2312"/>
          <w:sz w:val="32"/>
          <w:szCs w:val="32"/>
          <w:lang w:eastAsia="zh-CN"/>
        </w:rPr>
        <w:t>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海口市美兰区灵山镇安全生产监督管理站</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海口市美兰区灵山镇安全生产监督管理站</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0.58</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根据今年安排的实际支出需求调整</w:t>
      </w:r>
      <w:r>
        <w:rPr>
          <w:rFonts w:hint="eastAsia" w:ascii="仿宋_GB2312" w:hAnsi="黑体" w:eastAsia="仿宋_GB2312"/>
          <w:sz w:val="32"/>
          <w:szCs w:val="32"/>
          <w:lang w:eastAsia="zh-CN"/>
        </w:rPr>
        <w:t>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海口市美兰区灵山镇安全生产监督管理站</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海口市美兰区</w:t>
      </w:r>
      <w:r>
        <w:rPr>
          <w:rFonts w:hint="eastAsia" w:ascii="仿宋_GB2312" w:hAnsi="黑体" w:eastAsia="仿宋_GB2312" w:cs="仿宋_GB2312"/>
          <w:sz w:val="32"/>
          <w:szCs w:val="32"/>
          <w:lang w:eastAsia="zh-CN"/>
        </w:rPr>
        <w:t>灵山镇安全生产监督管理站政府</w:t>
      </w:r>
      <w:r>
        <w:rPr>
          <w:rFonts w:hint="eastAsia" w:ascii="仿宋_GB2312" w:hAnsi="黑体" w:eastAsia="仿宋_GB2312" w:cs="仿宋_GB2312"/>
          <w:sz w:val="32"/>
          <w:szCs w:val="32"/>
        </w:rPr>
        <w:t>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海口市美兰区灵山镇安全生产监督管理站</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jc w:val="center"/>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海口市美兰区灵山镇安全生产监督管理站</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个项目实</w:t>
      </w:r>
    </w:p>
    <w:p>
      <w:pPr>
        <w:jc w:val="both"/>
        <w:rPr>
          <w:rFonts w:ascii="黑体" w:hAnsi="黑体" w:eastAsia="黑体"/>
          <w:sz w:val="32"/>
          <w:szCs w:val="32"/>
        </w:rPr>
      </w:pPr>
      <w:r>
        <w:rPr>
          <w:rFonts w:hint="eastAsia" w:ascii="仿宋_GB2312" w:hAnsi="黑体" w:eastAsia="仿宋_GB2312" w:cs="仿宋_GB2312"/>
          <w:sz w:val="32"/>
          <w:szCs w:val="32"/>
        </w:rPr>
        <w:t>行绩效目标管理，涉及一般公共预算</w:t>
      </w:r>
      <w:r>
        <w:rPr>
          <w:rFonts w:hint="eastAsia" w:ascii="仿宋_GB2312" w:hAnsi="黑体" w:eastAsia="仿宋_GB2312" w:cs="仿宋_GB2312"/>
          <w:sz w:val="32"/>
          <w:szCs w:val="32"/>
          <w:lang w:val="en-US" w:eastAsia="zh-CN"/>
        </w:rPr>
        <w:t>47.78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BD1E96"/>
    <w:multiLevelType w:val="singleLevel"/>
    <w:tmpl w:val="25BD1E96"/>
    <w:lvl w:ilvl="0" w:tentative="0">
      <w:start w:val="3"/>
      <w:numFmt w:val="chineseCounting"/>
      <w:suff w:val="space"/>
      <w:lvlText w:val="第%1部分"/>
      <w:lvlJc w:val="left"/>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ZGY0MjNiOTI5MWUxYTY5Mzk4NzdmMTBlMzljY2UifQ=="/>
  </w:docVars>
  <w:rsids>
    <w:rsidRoot w:val="00000000"/>
    <w:rsid w:val="005B06BB"/>
    <w:rsid w:val="056A7B24"/>
    <w:rsid w:val="0C541C22"/>
    <w:rsid w:val="0CBA42B7"/>
    <w:rsid w:val="10445398"/>
    <w:rsid w:val="16671A20"/>
    <w:rsid w:val="24266E50"/>
    <w:rsid w:val="27AD5429"/>
    <w:rsid w:val="390170E1"/>
    <w:rsid w:val="3C59504C"/>
    <w:rsid w:val="441B2CE6"/>
    <w:rsid w:val="4F0B75A4"/>
    <w:rsid w:val="596E37EC"/>
    <w:rsid w:val="641E62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semiHidden/>
    <w:unhideWhenUsed/>
    <w:qFormat/>
    <w:uiPriority w:val="99"/>
    <w:pPr>
      <w:tabs>
        <w:tab w:val="center" w:pos="4153"/>
        <w:tab w:val="right" w:pos="8306"/>
      </w:tabs>
      <w:snapToGrid w:val="0"/>
      <w:jc w:val="left"/>
    </w:pPr>
    <w:rPr>
      <w:sz w:val="18"/>
      <w:szCs w:val="18"/>
    </w:rPr>
  </w:style>
  <w:style w:type="paragraph" w:styleId="3">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22"/>
    <w:rPr>
      <w:b/>
      <w:bCs/>
    </w:rPr>
  </w:style>
  <w:style w:type="character" w:styleId="8">
    <w:name w:val="FollowedHyperlink"/>
    <w:basedOn w:val="6"/>
    <w:semiHidden/>
    <w:unhideWhenUsed/>
    <w:uiPriority w:val="0"/>
    <w:rPr>
      <w:color w:val="188BD8"/>
      <w:sz w:val="18"/>
      <w:szCs w:val="18"/>
      <w:u w:val="none"/>
    </w:rPr>
  </w:style>
  <w:style w:type="character" w:styleId="9">
    <w:name w:val="Emphasis"/>
    <w:basedOn w:val="6"/>
    <w:qFormat/>
    <w:uiPriority w:val="20"/>
  </w:style>
  <w:style w:type="character" w:styleId="10">
    <w:name w:val="HTML Definition"/>
    <w:basedOn w:val="6"/>
    <w:semiHidden/>
    <w:unhideWhenUsed/>
    <w:uiPriority w:val="0"/>
  </w:style>
  <w:style w:type="character" w:styleId="11">
    <w:name w:val="HTML Variable"/>
    <w:basedOn w:val="6"/>
    <w:semiHidden/>
    <w:unhideWhenUsed/>
    <w:uiPriority w:val="0"/>
  </w:style>
  <w:style w:type="character" w:styleId="12">
    <w:name w:val="Hyperlink"/>
    <w:basedOn w:val="6"/>
    <w:semiHidden/>
    <w:unhideWhenUsed/>
    <w:uiPriority w:val="0"/>
    <w:rPr>
      <w:color w:val="188BD8"/>
      <w:sz w:val="18"/>
      <w:szCs w:val="18"/>
      <w:u w:val="none"/>
    </w:rPr>
  </w:style>
  <w:style w:type="character" w:styleId="13">
    <w:name w:val="HTML Code"/>
    <w:basedOn w:val="6"/>
    <w:semiHidden/>
    <w:unhideWhenUsed/>
    <w:uiPriority w:val="0"/>
    <w:rPr>
      <w:rFonts w:ascii="Courier New" w:hAnsi="Courier New"/>
      <w:sz w:val="20"/>
    </w:rPr>
  </w:style>
  <w:style w:type="character" w:styleId="14">
    <w:name w:val="HTML Cite"/>
    <w:basedOn w:val="6"/>
    <w:semiHidden/>
    <w:unhideWhenUsed/>
    <w:uiPriority w:val="0"/>
  </w:style>
  <w:style w:type="paragraph" w:customStyle="1" w:styleId="15">
    <w:name w:val="List Paragraph"/>
    <w:basedOn w:val="1"/>
    <w:qFormat/>
    <w:uiPriority w:val="34"/>
    <w:pPr>
      <w:ind w:firstLine="420" w:firstLineChars="200"/>
    </w:pPr>
  </w:style>
  <w:style w:type="paragraph" w:customStyle="1" w:styleId="16">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7">
    <w:name w:val="页眉 Char"/>
    <w:basedOn w:val="6"/>
    <w:link w:val="3"/>
    <w:semiHidden/>
    <w:qFormat/>
    <w:uiPriority w:val="99"/>
    <w:rPr>
      <w:sz w:val="18"/>
      <w:szCs w:val="18"/>
    </w:rPr>
  </w:style>
  <w:style w:type="character" w:customStyle="1" w:styleId="18">
    <w:name w:val="页脚 Char"/>
    <w:basedOn w:val="6"/>
    <w:link w:val="2"/>
    <w:semiHidden/>
    <w:qFormat/>
    <w:uiPriority w:val="99"/>
    <w:rPr>
      <w:sz w:val="18"/>
      <w:szCs w:val="18"/>
    </w:rPr>
  </w:style>
  <w:style w:type="character" w:customStyle="1" w:styleId="19">
    <w:name w:val="hover8"/>
    <w:basedOn w:val="6"/>
    <w:uiPriority w:val="0"/>
    <w:rPr>
      <w:color w:val="FF7B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3519</Words>
  <Characters>3777</Characters>
  <Lines>27</Lines>
  <Paragraphs>7</Paragraphs>
  <TotalTime>2</TotalTime>
  <ScaleCrop>false</ScaleCrop>
  <LinksUpToDate>false</LinksUpToDate>
  <CharactersWithSpaces>3824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2022-08-31T04:39:48Z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E6342B3A8A314E4FA6157BDDF365466C</vt:lpwstr>
  </property>
</Properties>
</file>