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Theme="majorEastAsia" w:hAnsiTheme="majorEastAsia" w:eastAsiaTheme="majorEastAsia" w:cstheme="majorEastAsia"/>
          <w:sz w:val="84"/>
          <w:szCs w:val="84"/>
          <w:lang w:val="en-US" w:eastAsia="zh-CN"/>
        </w:rPr>
      </w:pPr>
    </w:p>
    <w:p>
      <w:pPr>
        <w:jc w:val="center"/>
        <w:rPr>
          <w:rFonts w:hint="eastAsia" w:asciiTheme="majorEastAsia" w:hAnsiTheme="majorEastAsia" w:eastAsiaTheme="majorEastAsia" w:cstheme="majorEastAsia"/>
          <w:sz w:val="84"/>
          <w:szCs w:val="84"/>
          <w:lang w:val="en-US" w:eastAsia="zh-CN"/>
        </w:rPr>
      </w:pPr>
    </w:p>
    <w:p>
      <w:pPr>
        <w:jc w:val="center"/>
        <w:rPr>
          <w:rFonts w:hint="eastAsia" w:asciiTheme="majorEastAsia" w:hAnsiTheme="majorEastAsia" w:eastAsiaTheme="majorEastAsia" w:cstheme="majorEastAsia"/>
          <w:b/>
          <w:bCs/>
          <w:sz w:val="84"/>
          <w:szCs w:val="84"/>
          <w:lang w:eastAsia="zh-CN"/>
        </w:rPr>
      </w:pPr>
      <w:r>
        <w:rPr>
          <w:rFonts w:hint="eastAsia" w:asciiTheme="majorEastAsia" w:hAnsiTheme="majorEastAsia" w:eastAsiaTheme="majorEastAsia" w:cstheme="majorEastAsia"/>
          <w:b/>
          <w:bCs/>
          <w:sz w:val="84"/>
          <w:szCs w:val="84"/>
          <w:lang w:val="en-US" w:eastAsia="zh-CN"/>
        </w:rPr>
        <w:t>2021</w:t>
      </w:r>
      <w:r>
        <w:rPr>
          <w:rFonts w:hint="eastAsia" w:asciiTheme="majorEastAsia" w:hAnsiTheme="majorEastAsia" w:eastAsiaTheme="majorEastAsia" w:cstheme="majorEastAsia"/>
          <w:b/>
          <w:bCs/>
          <w:sz w:val="84"/>
          <w:szCs w:val="84"/>
        </w:rPr>
        <w:t>年</w:t>
      </w:r>
      <w:r>
        <w:rPr>
          <w:rFonts w:hint="eastAsia" w:asciiTheme="majorEastAsia" w:hAnsiTheme="majorEastAsia" w:eastAsiaTheme="majorEastAsia" w:cstheme="majorEastAsia"/>
          <w:b/>
          <w:bCs/>
          <w:sz w:val="84"/>
          <w:szCs w:val="84"/>
          <w:lang w:eastAsia="zh-CN"/>
        </w:rPr>
        <w:t>海口市美兰区灵山镇规划所</w:t>
      </w:r>
    </w:p>
    <w:p>
      <w:pPr>
        <w:jc w:val="center"/>
        <w:rPr>
          <w:sz w:val="52"/>
          <w:szCs w:val="52"/>
        </w:rPr>
      </w:pPr>
      <w:r>
        <w:rPr>
          <w:rFonts w:hint="eastAsia" w:asciiTheme="majorEastAsia" w:hAnsiTheme="majorEastAsia" w:eastAsiaTheme="majorEastAsia" w:cstheme="majorEastAsia"/>
          <w:b/>
          <w:bCs/>
          <w:sz w:val="84"/>
          <w:szCs w:val="84"/>
        </w:rPr>
        <w:t>单位预算</w:t>
      </w:r>
    </w:p>
    <w:p>
      <w:pPr>
        <w:ind w:firstLine="1680"/>
        <w:jc w:val="center"/>
        <w:rPr>
          <w:sz w:val="84"/>
          <w:szCs w:val="84"/>
        </w:rPr>
      </w:pPr>
    </w:p>
    <w:p>
      <w:pPr>
        <w:jc w:val="both"/>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11"/>
        <w:numPr>
          <w:ilvl w:val="0"/>
          <w:numId w:val="1"/>
        </w:numPr>
        <w:ind w:firstLineChars="0"/>
        <w:jc w:val="left"/>
        <w:rPr>
          <w:rFonts w:hint="eastAsia"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海口市美兰区灵山镇规划所</w:t>
      </w:r>
      <w:r>
        <w:rPr>
          <w:rFonts w:hint="eastAsia" w:ascii="黑体" w:hAnsi="黑体" w:eastAsia="黑体"/>
          <w:sz w:val="32"/>
          <w:szCs w:val="32"/>
        </w:rPr>
        <w:t>概况</w:t>
      </w:r>
    </w:p>
    <w:p>
      <w:pPr>
        <w:pStyle w:val="11"/>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11"/>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海口市美兰区灵山镇规划所</w:t>
      </w:r>
      <w:r>
        <w:rPr>
          <w:rFonts w:hint="eastAsia" w:ascii="黑体" w:hAnsi="黑体" w:eastAsia="黑体"/>
          <w:sz w:val="32"/>
          <w:szCs w:val="32"/>
          <w:lang w:val="en-US" w:eastAsia="zh-CN"/>
        </w:rPr>
        <w:t>2021</w:t>
      </w:r>
      <w:r>
        <w:rPr>
          <w:rFonts w:hint="eastAsia" w:ascii="黑体" w:hAnsi="黑体" w:eastAsia="黑体"/>
          <w:sz w:val="32"/>
          <w:szCs w:val="32"/>
        </w:rPr>
        <w:t>年单位预算表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11"/>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11"/>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11"/>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11"/>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11"/>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海口市美兰区灵山镇规划所</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年单位预算情况说明</w:t>
      </w:r>
    </w:p>
    <w:p>
      <w:pPr>
        <w:pStyle w:val="11"/>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11"/>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11"/>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海口市美兰区灵山镇规划所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11"/>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  1、认真贯彻执行上级关于规划管理、房屋建设、工程质量、招投标、房屋管理等方面的法律、法规及相关政策。</w:t>
      </w:r>
    </w:p>
    <w:p>
      <w:pPr>
        <w:ind w:firstLine="320" w:firstLineChars="1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2、全面负责本镇范围内的村镇总体规划、详细规划的组织编制和实施工作。</w:t>
      </w:r>
    </w:p>
    <w:p>
      <w:pPr>
        <w:ind w:firstLine="320" w:firstLineChars="1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3、负责本镇范围内的房屋建设管理工作（含质量、安全），核发村镇工程建设许可证和签发施工许可证。</w:t>
      </w:r>
    </w:p>
    <w:p>
      <w:pPr>
        <w:ind w:firstLine="320" w:firstLineChars="1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4、负责全镇农村建筑工匠的管理工作。</w:t>
      </w:r>
    </w:p>
    <w:p>
      <w:pPr>
        <w:ind w:firstLine="320" w:firstLineChars="1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5、负责查处房屋建设中的违章违法行为，房屋建设中的信访、投诉工作。</w:t>
      </w:r>
    </w:p>
    <w:p>
      <w:pPr>
        <w:ind w:firstLine="320" w:firstLineChars="1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6、负责农村公路修建、养护、管理及规划工作，帮助指导各村规划修建村级公路、民桥、民涵，协助上级交通运输部门开展辖区内交通建设，负责水上交通安全工作。</w:t>
      </w:r>
    </w:p>
    <w:p>
      <w:pPr>
        <w:ind w:firstLine="320" w:firstLineChars="1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7、完成镇党委、政府和上级业务部门交办的其他工作任务。</w:t>
      </w:r>
    </w:p>
    <w:p>
      <w:pPr>
        <w:ind w:left="2558" w:leftChars="304" w:hanging="1920" w:hangingChars="600"/>
        <w:rPr>
          <w:rFonts w:hint="eastAsia" w:ascii="黑体" w:hAnsi="黑体" w:eastAsia="黑体"/>
          <w:sz w:val="32"/>
          <w:szCs w:val="32"/>
        </w:rPr>
      </w:pPr>
    </w:p>
    <w:p>
      <w:pPr>
        <w:ind w:left="2558" w:leftChars="304" w:hanging="1920" w:hangingChars="6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海口市美兰区灵山镇规划所</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hint="eastAsia" w:ascii="黑体" w:hAnsi="黑体" w:eastAsia="黑体"/>
          <w:sz w:val="32"/>
          <w:szCs w:val="32"/>
        </w:rPr>
      </w:pPr>
      <w:r>
        <w:rPr>
          <w:rFonts w:hint="eastAsia" w:ascii="仿宋_GB2312" w:hAnsi="黑体" w:eastAsia="仿宋_GB2312"/>
          <w:b/>
          <w:sz w:val="32"/>
          <w:szCs w:val="32"/>
        </w:rPr>
        <w:t>（此部分内容即为单位预算公开表）</w:t>
      </w:r>
      <w:bookmarkStart w:id="0" w:name="_GoBack"/>
      <w:bookmarkEnd w:id="0"/>
    </w:p>
    <w:p>
      <w:pPr>
        <w:numPr>
          <w:ilvl w:val="0"/>
          <w:numId w:val="6"/>
        </w:numPr>
        <w:ind w:left="4158" w:leftChars="304" w:hanging="3520" w:hangingChars="110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海口市美兰区灵山镇规划所</w:t>
      </w:r>
      <w:r>
        <w:rPr>
          <w:rFonts w:hint="eastAsia" w:ascii="黑体" w:hAnsi="黑体" w:eastAsia="黑体"/>
          <w:sz w:val="32"/>
          <w:szCs w:val="32"/>
          <w:lang w:val="en-US" w:eastAsia="zh-CN"/>
        </w:rPr>
        <w:t>2021</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海口市美兰区灵山镇规划所</w:t>
      </w:r>
      <w:r>
        <w:rPr>
          <w:rFonts w:hint="eastAsia" w:ascii="黑体" w:hAnsi="黑体" w:eastAsia="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海口市美兰区灵山镇规划所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56.36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56.36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56.36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56.36</w:t>
      </w:r>
      <w:r>
        <w:rPr>
          <w:rFonts w:hint="eastAsia" w:ascii="仿宋_GB2312" w:hAnsi="黑体" w:eastAsia="仿宋_GB2312"/>
          <w:sz w:val="32"/>
          <w:szCs w:val="32"/>
        </w:rPr>
        <w:t>万元，包括社会保障和就业支出</w:t>
      </w:r>
      <w:r>
        <w:rPr>
          <w:rFonts w:hint="eastAsia" w:ascii="仿宋_GB2312" w:hAnsi="黑体" w:eastAsia="仿宋_GB2312" w:cs="仿宋_GB2312"/>
          <w:sz w:val="32"/>
          <w:szCs w:val="32"/>
          <w:lang w:val="en-US" w:eastAsia="zh-CN"/>
        </w:rPr>
        <w:t>4.48</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5.46万元、城乡社区支出42.44万元、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3.98万元，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海口市美兰区灵山镇规划所</w:t>
      </w:r>
      <w:r>
        <w:rPr>
          <w:rFonts w:hint="eastAsia" w:ascii="黑体" w:hAnsi="黑体" w:eastAsia="黑体"/>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海口市美兰区灵山镇规划所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56.36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4.39</w:t>
      </w:r>
      <w:r>
        <w:rPr>
          <w:rFonts w:hint="eastAsia" w:ascii="仿宋_GB2312" w:hAnsi="黑体" w:eastAsia="仿宋_GB2312"/>
          <w:sz w:val="32"/>
          <w:szCs w:val="32"/>
        </w:rPr>
        <w:t>万元，主要是</w:t>
      </w:r>
      <w:r>
        <w:rPr>
          <w:rFonts w:hint="eastAsia" w:ascii="仿宋_GB2312" w:hAnsi="黑体" w:eastAsia="仿宋_GB2312" w:cs="仿宋_GB2312"/>
          <w:sz w:val="32"/>
          <w:szCs w:val="32"/>
          <w:lang w:eastAsia="zh-CN"/>
        </w:rPr>
        <w:t>根据今年安排的实际工作需要调整</w:t>
      </w:r>
      <w:r>
        <w:rPr>
          <w:rFonts w:hint="eastAsia" w:ascii="仿宋_GB2312" w:hAnsi="黑体" w:eastAsia="仿宋_GB2312"/>
          <w:sz w:val="32"/>
          <w:szCs w:val="32"/>
          <w:lang w:eastAsia="zh-CN"/>
        </w:rPr>
        <w:t>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4.48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7.95</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5.46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9.69</w:t>
      </w:r>
      <w:r>
        <w:rPr>
          <w:rFonts w:hint="eastAsia" w:ascii="仿宋_GB2312" w:hAnsi="黑体" w:eastAsia="仿宋_GB2312"/>
          <w:sz w:val="32"/>
          <w:szCs w:val="32"/>
        </w:rPr>
        <w:t>%；</w:t>
      </w:r>
      <w:r>
        <w:rPr>
          <w:rFonts w:hint="eastAsia" w:ascii="仿宋_GB2312" w:hAnsi="黑体" w:eastAsia="仿宋_GB2312"/>
          <w:sz w:val="32"/>
          <w:szCs w:val="32"/>
          <w:lang w:eastAsia="zh-CN"/>
        </w:rPr>
        <w:t>城乡社区（类）支出</w:t>
      </w:r>
      <w:r>
        <w:rPr>
          <w:rFonts w:hint="eastAsia" w:ascii="仿宋_GB2312" w:hAnsi="黑体" w:eastAsia="仿宋_GB2312"/>
          <w:sz w:val="32"/>
          <w:szCs w:val="32"/>
          <w:lang w:val="en-US" w:eastAsia="zh-CN"/>
        </w:rPr>
        <w:t>42.44万元，占75.30%；</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3.98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7.06</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hint="default" w:ascii="仿宋_GB2312" w:hAnsi="黑体" w:eastAsia="仿宋_GB2312" w:cs="仿宋_GB2312"/>
          <w:sz w:val="32"/>
          <w:szCs w:val="32"/>
          <w:lang w:val="en-US" w:eastAsia="zh-CN"/>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4.48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0.28</w:t>
      </w:r>
      <w:r>
        <w:rPr>
          <w:rFonts w:hint="eastAsia" w:ascii="仿宋_GB2312" w:hAnsi="黑体" w:eastAsia="仿宋_GB2312"/>
          <w:sz w:val="32"/>
          <w:szCs w:val="32"/>
        </w:rPr>
        <w:t>万元</w:t>
      </w:r>
      <w:r>
        <w:rPr>
          <w:rFonts w:hint="eastAsia" w:ascii="仿宋_GB2312" w:hAnsi="黑体" w:eastAsia="仿宋_GB2312" w:cs="仿宋_GB2312"/>
          <w:sz w:val="32"/>
          <w:szCs w:val="32"/>
          <w:lang w:eastAsia="zh-CN"/>
        </w:rPr>
        <w:t>。预算数小于上年的主要原因：人员减少。</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2.38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0.15</w:t>
      </w:r>
      <w:r>
        <w:rPr>
          <w:rFonts w:hint="eastAsia" w:ascii="仿宋_GB2312" w:hAnsi="黑体" w:eastAsia="仿宋_GB2312"/>
          <w:sz w:val="32"/>
          <w:szCs w:val="32"/>
        </w:rPr>
        <w:t>万元</w:t>
      </w:r>
      <w:r>
        <w:rPr>
          <w:rFonts w:hint="eastAsia" w:ascii="仿宋_GB2312" w:hAnsi="黑体" w:eastAsia="仿宋_GB2312" w:cs="仿宋_GB2312"/>
          <w:sz w:val="32"/>
          <w:szCs w:val="32"/>
          <w:lang w:eastAsia="zh-CN"/>
        </w:rPr>
        <w:t>。预算数小于上年的主要原因：人员减少。</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3.08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0.11</w:t>
      </w:r>
      <w:r>
        <w:rPr>
          <w:rFonts w:hint="eastAsia" w:ascii="仿宋_GB2312" w:hAnsi="黑体" w:eastAsia="仿宋_GB2312"/>
          <w:sz w:val="32"/>
          <w:szCs w:val="32"/>
        </w:rPr>
        <w:t>万元</w:t>
      </w:r>
      <w:r>
        <w:rPr>
          <w:rFonts w:hint="eastAsia" w:ascii="仿宋_GB2312" w:hAnsi="黑体" w:eastAsia="仿宋_GB2312" w:cs="仿宋_GB2312"/>
          <w:sz w:val="32"/>
          <w:szCs w:val="32"/>
          <w:lang w:eastAsia="zh-CN"/>
        </w:rPr>
        <w:t>。预算数大于上年的主要原因：医疗补助基数调增。</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4.城乡社区支出（类）城乡社区管理事务（款）其他城乡社区管理事务支出（项）2021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42.44</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4.48</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s="仿宋_GB2312"/>
          <w:sz w:val="32"/>
          <w:szCs w:val="32"/>
          <w:lang w:eastAsia="zh-CN"/>
        </w:rPr>
        <w:t>预算数小于上年的主要原因：今年安排的实际工作需要调整</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eastAsia="zh-CN"/>
        </w:rPr>
        <w:t>。</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3.98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0.42</w:t>
      </w:r>
      <w:r>
        <w:rPr>
          <w:rFonts w:hint="eastAsia" w:ascii="仿宋_GB2312" w:hAnsi="黑体" w:eastAsia="仿宋_GB2312"/>
          <w:sz w:val="32"/>
          <w:szCs w:val="32"/>
        </w:rPr>
        <w:t>万元</w:t>
      </w:r>
      <w:r>
        <w:rPr>
          <w:rFonts w:hint="eastAsia" w:ascii="仿宋_GB2312" w:hAnsi="黑体" w:eastAsia="仿宋_GB2312" w:cs="仿宋_GB2312"/>
          <w:sz w:val="32"/>
          <w:szCs w:val="32"/>
          <w:lang w:eastAsia="zh-CN"/>
        </w:rPr>
        <w:t>。预算数大于上年的主要原因：公积金基数调增。</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海口市美兰区灵山镇规划所</w:t>
      </w:r>
      <w:r>
        <w:rPr>
          <w:rFonts w:hint="eastAsia" w:ascii="黑体" w:hAnsi="黑体" w:eastAsia="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海口市美兰区灵山镇规划所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56.36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52.97</w:t>
      </w:r>
      <w:r>
        <w:rPr>
          <w:rFonts w:hint="eastAsia" w:ascii="仿宋_GB2312" w:hAnsi="黑体" w:eastAsia="仿宋_GB2312"/>
          <w:sz w:val="32"/>
          <w:szCs w:val="32"/>
        </w:rPr>
        <w:t>万元，主要包括：基本工资、津贴补贴、</w:t>
      </w:r>
      <w:r>
        <w:rPr>
          <w:rFonts w:hint="eastAsia" w:ascii="仿宋_GB2312" w:hAnsi="黑体" w:eastAsia="仿宋_GB2312"/>
          <w:sz w:val="32"/>
          <w:szCs w:val="32"/>
          <w:lang w:eastAsia="zh-CN"/>
        </w:rPr>
        <w:t>绩效工资、机关事业单位基本养老保险缴费、职工基本医疗保险缴费、公务员医疗补助缴费、其他</w:t>
      </w:r>
      <w:r>
        <w:rPr>
          <w:rFonts w:hint="eastAsia" w:ascii="仿宋_GB2312" w:hAnsi="黑体" w:eastAsia="仿宋_GB2312"/>
          <w:sz w:val="32"/>
          <w:szCs w:val="32"/>
        </w:rPr>
        <w:t>社会保障缴费、住房公积金</w:t>
      </w:r>
      <w:r>
        <w:rPr>
          <w:rFonts w:hint="eastAsia" w:ascii="仿宋_GB2312" w:hAnsi="黑体" w:eastAsia="仿宋_GB2312"/>
          <w:sz w:val="32"/>
          <w:szCs w:val="32"/>
          <w:lang w:eastAsia="zh-CN"/>
        </w:rPr>
        <w:t>、医疗费、生活补助等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3.39</w:t>
      </w:r>
      <w:r>
        <w:rPr>
          <w:rFonts w:hint="eastAsia" w:ascii="仿宋_GB2312" w:hAnsi="黑体" w:eastAsia="仿宋_GB2312"/>
          <w:sz w:val="32"/>
          <w:szCs w:val="32"/>
        </w:rPr>
        <w:t>万元，主要包括：其他社会保障缴费</w:t>
      </w:r>
      <w:r>
        <w:rPr>
          <w:rFonts w:hint="eastAsia" w:ascii="仿宋_GB2312" w:hAnsi="黑体" w:eastAsia="仿宋_GB2312"/>
          <w:sz w:val="32"/>
          <w:szCs w:val="32"/>
          <w:lang w:eastAsia="zh-CN"/>
        </w:rPr>
        <w:t>、工会经费、其他商品和服务支出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海口市美兰区灵山镇</w:t>
      </w:r>
      <w:r>
        <w:rPr>
          <w:rFonts w:hint="eastAsia" w:ascii="黑体" w:hAnsi="黑体" w:eastAsia="黑体"/>
          <w:sz w:val="32"/>
          <w:szCs w:val="32"/>
          <w:lang w:eastAsia="zh-CN"/>
        </w:rPr>
        <w:t>规划所</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海口市美兰区灵山镇规划所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海口市美兰区灵山镇规划所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海口市美兰区灵山镇</w:t>
      </w:r>
      <w:r>
        <w:rPr>
          <w:rFonts w:hint="eastAsia" w:ascii="黑体" w:hAnsi="黑体" w:eastAsia="黑体"/>
          <w:sz w:val="32"/>
          <w:szCs w:val="32"/>
          <w:lang w:eastAsia="zh-CN"/>
        </w:rPr>
        <w:t>规划所</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海口市美兰区灵山镇规划所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海口市美兰区灵山镇规划所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海口市美兰区灵山镇规划所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海口市美兰区灵山镇规划所</w:t>
      </w:r>
      <w:r>
        <w:rPr>
          <w:rFonts w:hint="eastAsia" w:ascii="黑体" w:hAnsi="黑体" w:eastAsia="黑体" w:cs="Times New Roman"/>
          <w:sz w:val="32"/>
          <w:shd w:val="clear" w:color="auto" w:fill="FFFFFF"/>
          <w:lang w:val="en-US" w:eastAsia="zh-CN"/>
        </w:rPr>
        <w:t>2021</w:t>
      </w:r>
      <w:r>
        <w:rPr>
          <w:rFonts w:hint="eastAsia" w:ascii="黑体" w:hAnsi="黑体" w:eastAsia="黑体" w:cs="Times New Roman"/>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海口市美兰区灵山镇规划所</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；支出包括：社会保障和就业支出、卫生健康支出</w:t>
      </w:r>
      <w:r>
        <w:rPr>
          <w:rFonts w:hint="eastAsia" w:ascii="仿宋_GB2312" w:hAnsi="黑体" w:eastAsia="仿宋_GB2312"/>
          <w:sz w:val="32"/>
          <w:szCs w:val="32"/>
          <w:lang w:eastAsia="zh-CN"/>
        </w:rPr>
        <w:t>、城乡社区支出、住房保障支出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海口市美兰区灵山镇规划所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56.36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海口市美兰区灵山镇规划所</w:t>
      </w:r>
      <w:r>
        <w:rPr>
          <w:rFonts w:hint="eastAsia" w:ascii="黑体" w:hAnsi="黑体" w:eastAsia="黑体" w:cs="Times New Roman"/>
          <w:sz w:val="32"/>
          <w:shd w:val="clear" w:color="auto" w:fill="FFFFFF"/>
          <w:lang w:val="en-US" w:eastAsia="zh-CN"/>
        </w:rPr>
        <w:t>2021</w:t>
      </w:r>
      <w:r>
        <w:rPr>
          <w:rFonts w:hint="eastAsia" w:ascii="黑体" w:hAnsi="黑体" w:eastAsia="黑体" w:cs="Times New Roman"/>
          <w:sz w:val="32"/>
          <w:shd w:val="clear" w:color="auto" w:fill="FFFFFF"/>
        </w:rPr>
        <w:t>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海口市美兰区灵山镇规划所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56.36</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56.36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4.39</w:t>
      </w:r>
      <w:r>
        <w:rPr>
          <w:rFonts w:hint="eastAsia" w:ascii="仿宋_GB2312" w:hAnsi="黑体" w:eastAsia="仿宋_GB2312"/>
          <w:sz w:val="32"/>
          <w:szCs w:val="32"/>
        </w:rPr>
        <w:t>万元，主要是</w:t>
      </w:r>
      <w:r>
        <w:rPr>
          <w:rFonts w:hint="eastAsia" w:ascii="仿宋_GB2312" w:hAnsi="黑体" w:eastAsia="仿宋_GB2312" w:cs="仿宋_GB2312"/>
          <w:sz w:val="32"/>
          <w:szCs w:val="32"/>
          <w:lang w:eastAsia="zh-CN"/>
        </w:rPr>
        <w:t>根据今年安排的实际工作需要调整</w:t>
      </w:r>
      <w:r>
        <w:rPr>
          <w:rFonts w:hint="eastAsia" w:ascii="仿宋_GB2312" w:hAnsi="黑体" w:eastAsia="仿宋_GB2312"/>
          <w:sz w:val="32"/>
          <w:szCs w:val="32"/>
          <w:lang w:eastAsia="zh-CN"/>
        </w:rPr>
        <w:t>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海口市美兰区灵山镇规划所</w:t>
      </w:r>
      <w:r>
        <w:rPr>
          <w:rFonts w:hint="eastAsia" w:ascii="黑体" w:hAnsi="黑体" w:eastAsia="黑体" w:cs="Times New Roman"/>
          <w:sz w:val="32"/>
          <w:shd w:val="clear" w:color="auto" w:fill="FFFFFF"/>
          <w:lang w:val="en-US" w:eastAsia="zh-CN"/>
        </w:rPr>
        <w:t>2021</w:t>
      </w:r>
      <w:r>
        <w:rPr>
          <w:rFonts w:hint="eastAsia" w:ascii="黑体" w:hAnsi="黑体" w:eastAsia="黑体" w:cs="Times New Roman"/>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海口市美兰区灵山镇规划所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56.36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56.36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4.39</w:t>
      </w:r>
      <w:r>
        <w:rPr>
          <w:rFonts w:hint="eastAsia" w:ascii="仿宋_GB2312" w:hAnsi="黑体" w:eastAsia="仿宋_GB2312"/>
          <w:sz w:val="32"/>
          <w:szCs w:val="32"/>
        </w:rPr>
        <w:t>万元，主要是</w:t>
      </w:r>
      <w:r>
        <w:rPr>
          <w:rFonts w:hint="eastAsia" w:ascii="仿宋_GB2312" w:hAnsi="黑体" w:eastAsia="仿宋_GB2312" w:cs="仿宋_GB2312"/>
          <w:sz w:val="32"/>
          <w:szCs w:val="32"/>
          <w:lang w:eastAsia="zh-CN"/>
        </w:rPr>
        <w:t>根据今年安排的实际工作需要调整</w:t>
      </w:r>
      <w:r>
        <w:rPr>
          <w:rFonts w:hint="eastAsia" w:ascii="仿宋_GB2312" w:hAnsi="黑体" w:eastAsia="仿宋_GB2312"/>
          <w:sz w:val="32"/>
          <w:szCs w:val="32"/>
          <w:lang w:eastAsia="zh-CN"/>
        </w:rPr>
        <w:t>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海口市美兰区灵山镇规划所</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56.36</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海口市美兰区</w:t>
      </w:r>
      <w:r>
        <w:rPr>
          <w:rFonts w:hint="eastAsia" w:ascii="仿宋_GB2312" w:hAnsi="黑体" w:eastAsia="仿宋_GB2312" w:cs="仿宋_GB2312"/>
          <w:sz w:val="32"/>
          <w:szCs w:val="32"/>
          <w:lang w:eastAsia="zh-CN"/>
        </w:rPr>
        <w:t>灵山镇规划所政府</w:t>
      </w:r>
      <w:r>
        <w:rPr>
          <w:rFonts w:hint="eastAsia" w:ascii="仿宋_GB2312" w:hAnsi="黑体" w:eastAsia="仿宋_GB2312" w:cs="仿宋_GB2312"/>
          <w:sz w:val="32"/>
          <w:szCs w:val="32"/>
        </w:rPr>
        <w:t>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海口市美兰区灵山镇规划所</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jc w:val="center"/>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海口市美兰区灵山镇规划所</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个项目实</w:t>
      </w:r>
    </w:p>
    <w:p>
      <w:pPr>
        <w:jc w:val="both"/>
        <w:rPr>
          <w:rFonts w:ascii="黑体" w:hAnsi="黑体" w:eastAsia="黑体"/>
          <w:sz w:val="32"/>
          <w:szCs w:val="32"/>
        </w:rPr>
      </w:pPr>
      <w:r>
        <w:rPr>
          <w:rFonts w:hint="eastAsia" w:ascii="仿宋_GB2312" w:hAnsi="黑体" w:eastAsia="仿宋_GB2312" w:cs="仿宋_GB2312"/>
          <w:sz w:val="32"/>
          <w:szCs w:val="32"/>
        </w:rPr>
        <w:t>行绩效目标管理，涉及一般公共预算</w:t>
      </w:r>
      <w:r>
        <w:rPr>
          <w:rFonts w:hint="eastAsia" w:ascii="仿宋_GB2312" w:hAnsi="黑体" w:eastAsia="仿宋_GB2312" w:cs="仿宋_GB2312"/>
          <w:sz w:val="32"/>
          <w:szCs w:val="32"/>
          <w:lang w:val="en-US" w:eastAsia="zh-CN"/>
        </w:rPr>
        <w:t>56.36</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5BD1E96"/>
    <w:multiLevelType w:val="singleLevel"/>
    <w:tmpl w:val="25BD1E96"/>
    <w:lvl w:ilvl="0" w:tentative="0">
      <w:start w:val="3"/>
      <w:numFmt w:val="chineseCounting"/>
      <w:suff w:val="space"/>
      <w:lvlText w:val="第%1部分"/>
      <w:lvlJc w:val="left"/>
      <w:rPr>
        <w:rFonts w:hint="eastAsia"/>
      </w:r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mZGY0MjNiOTI5MWUxYTY5Mzk4NzdmMTBlMzljY2UifQ=="/>
  </w:docVars>
  <w:rsids>
    <w:rsidRoot w:val="00000000"/>
    <w:rsid w:val="005B06BB"/>
    <w:rsid w:val="056A7B24"/>
    <w:rsid w:val="0C541C22"/>
    <w:rsid w:val="16671A20"/>
    <w:rsid w:val="17580578"/>
    <w:rsid w:val="24266E50"/>
    <w:rsid w:val="27AD5429"/>
    <w:rsid w:val="3C59504C"/>
    <w:rsid w:val="3CEF47A8"/>
    <w:rsid w:val="441B2CE6"/>
    <w:rsid w:val="4F0B75A4"/>
    <w:rsid w:val="641E6213"/>
    <w:rsid w:val="666554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semiHidden/>
    <w:unhideWhenUsed/>
    <w:qFormat/>
    <w:uiPriority w:val="99"/>
    <w:pPr>
      <w:tabs>
        <w:tab w:val="center" w:pos="4153"/>
        <w:tab w:val="right" w:pos="8306"/>
      </w:tabs>
      <w:snapToGrid w:val="0"/>
      <w:jc w:val="left"/>
    </w:pPr>
    <w:rPr>
      <w:sz w:val="18"/>
      <w:szCs w:val="18"/>
    </w:rPr>
  </w:style>
  <w:style w:type="paragraph" w:styleId="3">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22"/>
  </w:style>
  <w:style w:type="character" w:styleId="8">
    <w:name w:val="FollowedHyperlink"/>
    <w:basedOn w:val="6"/>
    <w:semiHidden/>
    <w:unhideWhenUsed/>
    <w:uiPriority w:val="0"/>
    <w:rPr>
      <w:color w:val="333333"/>
      <w:u w:val="none"/>
    </w:rPr>
  </w:style>
  <w:style w:type="character" w:styleId="9">
    <w:name w:val="Emphasis"/>
    <w:basedOn w:val="6"/>
    <w:qFormat/>
    <w:uiPriority w:val="20"/>
  </w:style>
  <w:style w:type="character" w:styleId="10">
    <w:name w:val="Hyperlink"/>
    <w:basedOn w:val="6"/>
    <w:semiHidden/>
    <w:unhideWhenUsed/>
    <w:uiPriority w:val="0"/>
    <w:rPr>
      <w:color w:val="333333"/>
      <w:u w:val="none"/>
    </w:rPr>
  </w:style>
  <w:style w:type="paragraph" w:customStyle="1" w:styleId="11">
    <w:name w:val="List Paragraph"/>
    <w:basedOn w:val="1"/>
    <w:qFormat/>
    <w:uiPriority w:val="34"/>
    <w:pPr>
      <w:ind w:firstLine="420" w:firstLineChars="200"/>
    </w:pPr>
  </w:style>
  <w:style w:type="paragraph" w:customStyle="1" w:styleId="12">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13">
    <w:name w:val="页眉 Char"/>
    <w:basedOn w:val="6"/>
    <w:link w:val="3"/>
    <w:semiHidden/>
    <w:qFormat/>
    <w:uiPriority w:val="99"/>
    <w:rPr>
      <w:sz w:val="18"/>
      <w:szCs w:val="18"/>
    </w:rPr>
  </w:style>
  <w:style w:type="character" w:customStyle="1" w:styleId="14">
    <w:name w:val="页脚 Char"/>
    <w:basedOn w:val="6"/>
    <w:link w:val="2"/>
    <w:semiHidden/>
    <w:qFormat/>
    <w:uiPriority w:val="99"/>
    <w:rPr>
      <w:sz w:val="18"/>
      <w:szCs w:val="18"/>
    </w:rPr>
  </w:style>
  <w:style w:type="character" w:customStyle="1" w:styleId="15">
    <w:name w:val="hover9"/>
    <w:basedOn w:val="6"/>
    <w:uiPriority w:val="0"/>
    <w:rPr>
      <w:bdr w:val="single" w:color="F70A23"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3457</Words>
  <Characters>3718</Characters>
  <Lines>27</Lines>
  <Paragraphs>7</Paragraphs>
  <TotalTime>6</TotalTime>
  <ScaleCrop>false</ScaleCrop>
  <LinksUpToDate>false</LinksUpToDate>
  <CharactersWithSpaces>3765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2022-08-31T04:44:27Z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730187A1F75B450CB306B8DE45C47607</vt:lpwstr>
  </property>
</Properties>
</file>