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240" w:lineRule="auto"/>
        <w:ind w:firstLine="0" w:firstLineChars="0"/>
        <w:rPr>
          <w:rFonts w:ascii="仿宋_GB2312" w:eastAsia="仿宋_GB2312" w:cs="宋体" w:hAnsiTheme="majorEastAsia"/>
          <w:kern w:val="0"/>
          <w:sz w:val="32"/>
          <w:szCs w:val="32"/>
        </w:rPr>
      </w:pPr>
      <w:r>
        <w:rPr>
          <w:rFonts w:hint="eastAsia" w:ascii="仿宋_GB2312" w:eastAsia="仿宋_GB2312" w:cs="宋体" w:hAnsiTheme="majorEastAsia"/>
          <w:kern w:val="0"/>
          <w:sz w:val="32"/>
          <w:szCs w:val="32"/>
        </w:rPr>
        <w:t>附件</w:t>
      </w:r>
      <w:r>
        <w:rPr>
          <w:rFonts w:hint="eastAsia" w:ascii="仿宋_GB2312" w:cs="宋体" w:hAnsiTheme="majorEastAsia"/>
          <w:kern w:val="0"/>
          <w:sz w:val="32"/>
          <w:szCs w:val="32"/>
          <w:lang w:val="en-US" w:eastAsia="zh-CN"/>
        </w:rPr>
        <w:t>2</w:t>
      </w:r>
      <w:r>
        <w:rPr>
          <w:rFonts w:hint="eastAsia" w:ascii="仿宋_GB2312" w:eastAsia="仿宋_GB2312" w:cs="宋体" w:hAnsiTheme="majorEastAsia"/>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660" w:lineRule="exact"/>
        <w:ind w:firstLine="0" w:firstLineChars="0"/>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海口市美兰区</w:t>
      </w:r>
      <w:r>
        <w:rPr>
          <w:rFonts w:hint="eastAsia" w:ascii="方正小标宋简体" w:hAnsi="方正小标宋简体" w:eastAsia="方正小标宋简体" w:cs="方正小标宋简体"/>
          <w:b/>
          <w:sz w:val="44"/>
          <w:szCs w:val="44"/>
          <w:lang w:eastAsia="zh-CN"/>
        </w:rPr>
        <w:t>202</w:t>
      </w:r>
      <w:r>
        <w:rPr>
          <w:rFonts w:hint="eastAsia" w:ascii="方正小标宋简体" w:hAnsi="方正小标宋简体" w:eastAsia="方正小标宋简体" w:cs="方正小标宋简体"/>
          <w:b/>
          <w:sz w:val="44"/>
          <w:szCs w:val="44"/>
          <w:lang w:val="en-US" w:eastAsia="zh-CN"/>
        </w:rPr>
        <w:t>3</w:t>
      </w:r>
      <w:r>
        <w:rPr>
          <w:rFonts w:hint="eastAsia" w:ascii="方正小标宋简体" w:hAnsi="方正小标宋简体" w:eastAsia="方正小标宋简体" w:cs="方正小标宋简体"/>
          <w:b/>
          <w:sz w:val="44"/>
          <w:szCs w:val="44"/>
          <w:lang w:eastAsia="zh-CN"/>
        </w:rPr>
        <w:t>年中央财政衔接推进乡村振兴补助资金（直达资金）</w:t>
      </w:r>
      <w:r>
        <w:rPr>
          <w:rFonts w:hint="eastAsia" w:ascii="方正小标宋简体" w:hAnsi="方正小标宋简体" w:eastAsia="方正小标宋简体" w:cs="方正小标宋简体"/>
          <w:b/>
          <w:sz w:val="44"/>
          <w:szCs w:val="44"/>
        </w:rPr>
        <w:t>分配方</w:t>
      </w:r>
      <w:r>
        <w:rPr>
          <w:rFonts w:hint="eastAsia" w:ascii="方正小标宋简体" w:hAnsi="方正小标宋简体" w:eastAsia="方正小标宋简体" w:cs="方正小标宋简体"/>
          <w:b/>
          <w:kern w:val="0"/>
          <w:sz w:val="44"/>
          <w:szCs w:val="44"/>
        </w:rPr>
        <w:t>案</w:t>
      </w:r>
    </w:p>
    <w:p>
      <w:pPr>
        <w:autoSpaceDE w:val="0"/>
        <w:autoSpaceDN w:val="0"/>
        <w:adjustRightInd w:val="0"/>
        <w:spacing w:line="240" w:lineRule="auto"/>
        <w:ind w:firstLine="0" w:firstLineChars="0"/>
        <w:jc w:val="center"/>
        <w:rPr>
          <w:rFonts w:cs="宋体" w:asciiTheme="majorEastAsia" w:hAnsiTheme="majorEastAsia" w:eastAsiaTheme="majorEastAsia"/>
          <w:b/>
          <w:kern w:val="0"/>
          <w:sz w:val="44"/>
          <w:szCs w:val="44"/>
        </w:rPr>
      </w:pPr>
    </w:p>
    <w:p>
      <w:pPr>
        <w:keepNext w:val="0"/>
        <w:keepLines w:val="0"/>
        <w:pageBreakBefore w:val="0"/>
        <w:widowControl w:val="0"/>
        <w:kinsoku/>
        <w:wordWrap/>
        <w:topLinePunct w:val="0"/>
        <w:bidi w:val="0"/>
        <w:snapToGrid/>
        <w:spacing w:beforeLines="50"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为进一步提高</w:t>
      </w:r>
      <w:r>
        <w:rPr>
          <w:rFonts w:hint="eastAsia" w:ascii="仿宋_GB2312" w:hAnsi="仿宋_GB2312" w:eastAsia="仿宋_GB2312" w:cs="仿宋_GB2312"/>
          <w:kern w:val="0"/>
          <w:sz w:val="32"/>
          <w:szCs w:val="32"/>
          <w:lang w:eastAsia="zh-CN"/>
        </w:rPr>
        <w:t>衔接</w:t>
      </w:r>
      <w:r>
        <w:rPr>
          <w:rFonts w:hint="eastAsia" w:ascii="仿宋_GB2312" w:hAnsi="仿宋_GB2312" w:eastAsia="仿宋_GB2312" w:cs="仿宋_GB2312"/>
          <w:kern w:val="0"/>
          <w:sz w:val="32"/>
          <w:szCs w:val="32"/>
        </w:rPr>
        <w:t>资金使用效益，确保完成年度目标任务，</w:t>
      </w:r>
      <w:r>
        <w:rPr>
          <w:rFonts w:hint="eastAsia" w:ascii="仿宋_GB2312" w:hAnsi="仿宋_GB2312" w:eastAsia="仿宋_GB2312" w:cs="仿宋_GB2312"/>
          <w:sz w:val="32"/>
          <w:szCs w:val="32"/>
        </w:rPr>
        <w:t>结合相关单位、各镇测算的资金量和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巩固脱贫成果及衔接乡村振兴实际</w:t>
      </w:r>
      <w:r>
        <w:rPr>
          <w:rFonts w:hint="eastAsia" w:ascii="仿宋_GB2312" w:hAnsi="仿宋_GB2312" w:eastAsia="仿宋_GB2312" w:cs="仿宋_GB2312"/>
          <w:sz w:val="32"/>
          <w:szCs w:val="32"/>
        </w:rPr>
        <w:t>，特制订本方案。</w:t>
      </w:r>
    </w:p>
    <w:p>
      <w:pPr>
        <w:keepNext w:val="0"/>
        <w:keepLines w:val="0"/>
        <w:pageBreakBefore w:val="0"/>
        <w:widowControl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一、资金到位情况</w:t>
      </w:r>
    </w:p>
    <w:p>
      <w:pPr>
        <w:keepNext w:val="0"/>
        <w:keepLines w:val="0"/>
        <w:pageBreakBefore w:val="0"/>
        <w:widowControl w:val="0"/>
        <w:kinsoku/>
        <w:wordWrap/>
        <w:topLinePunct w:val="0"/>
        <w:bidi w:val="0"/>
        <w:snapToGrid/>
        <w:spacing w:beforeLines="50" w:line="560" w:lineRule="exact"/>
        <w:ind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w:t>
      </w:r>
      <w:r>
        <w:rPr>
          <w:rFonts w:hint="eastAsia" w:ascii="仿宋_GB2312" w:hAnsi="仿宋_GB2312" w:eastAsia="仿宋_GB2312" w:cs="仿宋_GB2312"/>
          <w:color w:val="000000"/>
          <w:kern w:val="0"/>
          <w:sz w:val="32"/>
          <w:szCs w:val="32"/>
          <w:lang w:val="en-US" w:eastAsia="zh-CN" w:bidi="ar"/>
        </w:rPr>
        <w:t>海口市乡村振兴局</w:t>
      </w:r>
      <w:r>
        <w:rPr>
          <w:rFonts w:hint="eastAsia" w:ascii="仿宋_GB2312" w:hAnsi="仿宋_GB2312" w:eastAsia="仿宋_GB2312" w:cs="仿宋_GB2312"/>
          <w:color w:val="auto"/>
          <w:kern w:val="0"/>
          <w:sz w:val="32"/>
          <w:szCs w:val="32"/>
          <w:highlight w:val="none"/>
          <w:lang w:val="en-US" w:eastAsia="zh-CN" w:bidi="ar"/>
        </w:rPr>
        <w:t>《海口市乡村振兴局关于2023年</w:t>
      </w:r>
      <w:r>
        <w:rPr>
          <w:rFonts w:hint="eastAsia" w:ascii="仿宋_GB2312" w:hAnsi="仿宋_GB2312" w:cs="仿宋_GB2312"/>
          <w:color w:val="auto"/>
          <w:kern w:val="0"/>
          <w:sz w:val="32"/>
          <w:szCs w:val="32"/>
          <w:highlight w:val="none"/>
          <w:lang w:val="en-US" w:eastAsia="zh-CN" w:bidi="ar"/>
        </w:rPr>
        <w:t>中央</w:t>
      </w:r>
      <w:r>
        <w:rPr>
          <w:rFonts w:hint="eastAsia" w:ascii="仿宋_GB2312" w:hAnsi="仿宋_GB2312" w:eastAsia="仿宋_GB2312" w:cs="仿宋_GB2312"/>
          <w:color w:val="auto"/>
          <w:kern w:val="0"/>
          <w:sz w:val="32"/>
          <w:szCs w:val="32"/>
          <w:highlight w:val="none"/>
          <w:lang w:val="en-US" w:eastAsia="zh-CN" w:bidi="ar"/>
        </w:rPr>
        <w:t>财政衔接推进乡村振兴补助资金</w:t>
      </w:r>
      <w:r>
        <w:rPr>
          <w:rFonts w:hint="eastAsia" w:ascii="仿宋_GB2312" w:hAnsi="仿宋_GB2312" w:cs="仿宋_GB2312"/>
          <w:color w:val="auto"/>
          <w:kern w:val="0"/>
          <w:sz w:val="32"/>
          <w:szCs w:val="32"/>
          <w:highlight w:val="none"/>
          <w:lang w:val="en-US" w:eastAsia="zh-CN" w:bidi="ar"/>
        </w:rPr>
        <w:t>（直达资金）分配</w:t>
      </w:r>
      <w:r>
        <w:rPr>
          <w:rFonts w:hint="eastAsia" w:ascii="仿宋_GB2312" w:hAnsi="仿宋_GB2312" w:eastAsia="仿宋_GB2312" w:cs="仿宋_GB2312"/>
          <w:color w:val="auto"/>
          <w:kern w:val="0"/>
          <w:sz w:val="32"/>
          <w:szCs w:val="32"/>
          <w:highlight w:val="none"/>
          <w:lang w:val="en-US" w:eastAsia="zh-CN" w:bidi="ar"/>
        </w:rPr>
        <w:t>的通知》（海乡振发〔202</w:t>
      </w:r>
      <w:r>
        <w:rPr>
          <w:rFonts w:hint="eastAsia" w:ascii="仿宋_GB2312" w:hAnsi="仿宋_GB2312" w:cs="仿宋_GB2312"/>
          <w:color w:val="auto"/>
          <w:kern w:val="0"/>
          <w:sz w:val="32"/>
          <w:szCs w:val="32"/>
          <w:highlight w:val="none"/>
          <w:lang w:val="en-US" w:eastAsia="zh-CN" w:bidi="ar"/>
        </w:rPr>
        <w:t>3</w:t>
      </w:r>
      <w:r>
        <w:rPr>
          <w:rFonts w:hint="eastAsia" w:ascii="仿宋_GB2312" w:hAnsi="仿宋_GB2312" w:eastAsia="仿宋_GB2312" w:cs="仿宋_GB2312"/>
          <w:color w:val="auto"/>
          <w:kern w:val="0"/>
          <w:sz w:val="32"/>
          <w:szCs w:val="32"/>
          <w:highlight w:val="none"/>
          <w:lang w:val="en-US" w:eastAsia="zh-CN" w:bidi="ar"/>
        </w:rPr>
        <w:t>〕</w:t>
      </w:r>
      <w:r>
        <w:rPr>
          <w:rFonts w:hint="eastAsia" w:ascii="仿宋_GB2312" w:hAnsi="仿宋_GB2312" w:cs="仿宋_GB2312"/>
          <w:color w:val="auto"/>
          <w:kern w:val="0"/>
          <w:sz w:val="32"/>
          <w:szCs w:val="32"/>
          <w:highlight w:val="none"/>
          <w:lang w:val="en-US" w:eastAsia="zh-CN" w:bidi="ar"/>
        </w:rPr>
        <w:t>9</w:t>
      </w:r>
      <w:r>
        <w:rPr>
          <w:rFonts w:hint="eastAsia" w:ascii="仿宋_GB2312" w:hAnsi="仿宋_GB2312" w:eastAsia="仿宋_GB2312" w:cs="仿宋_GB2312"/>
          <w:color w:val="auto"/>
          <w:kern w:val="0"/>
          <w:sz w:val="32"/>
          <w:szCs w:val="32"/>
          <w:highlight w:val="none"/>
          <w:lang w:val="en-US" w:eastAsia="zh-CN" w:bidi="ar"/>
        </w:rPr>
        <w:t>号）</w:t>
      </w:r>
      <w:r>
        <w:rPr>
          <w:rFonts w:hint="eastAsia" w:ascii="仿宋_GB2312" w:hAnsi="仿宋_GB2312" w:eastAsia="仿宋_GB2312" w:cs="仿宋_GB2312"/>
          <w:color w:val="000000" w:themeColor="text1"/>
          <w:sz w:val="32"/>
          <w:szCs w:val="32"/>
          <w:highlight w:val="none"/>
          <w14:textFill>
            <w14:solidFill>
              <w14:schemeClr w14:val="tx1"/>
            </w14:solidFill>
          </w14:textFill>
        </w:rPr>
        <w:t>的文件精神</w:t>
      </w:r>
      <w:r>
        <w:rPr>
          <w:rFonts w:hint="eastAsia" w:ascii="仿宋_GB2312" w:hAnsi="仿宋_GB2312" w:eastAsia="仿宋_GB2312" w:cs="仿宋_GB2312"/>
          <w:color w:val="000000" w:themeColor="text1"/>
          <w:sz w:val="32"/>
          <w:szCs w:val="32"/>
          <w14:textFill>
            <w14:solidFill>
              <w14:schemeClr w14:val="tx1"/>
            </w14:solidFill>
          </w14:textFill>
        </w:rPr>
        <w:t>，分配我区</w:t>
      </w:r>
      <w:r>
        <w:rPr>
          <w:rFonts w:hint="eastAsia" w:ascii="仿宋_GB2312" w:hAnsi="仿宋_GB2312" w:eastAsia="仿宋_GB2312" w:cs="仿宋_GB2312"/>
          <w:color w:val="000000" w:themeColor="text1"/>
          <w:sz w:val="32"/>
          <w:szCs w:val="32"/>
          <w:lang w:eastAsia="zh-CN"/>
          <w14:textFill>
            <w14:solidFill>
              <w14:schemeClr w14:val="tx1"/>
            </w14:solidFill>
          </w14:textFill>
        </w:rPr>
        <w:t>202</w:t>
      </w:r>
      <w:r>
        <w:rPr>
          <w:rFonts w:hint="eastAsia" w:ascii="仿宋_GB2312" w:hAnsi="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年中央财政衔接推进乡村振兴补助资金</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232</w:t>
      </w:r>
      <w:r>
        <w:rPr>
          <w:rFonts w:hint="eastAsia" w:ascii="仿宋_GB2312" w:hAnsi="仿宋_GB2312" w:eastAsia="仿宋_GB2312" w:cs="仿宋_GB2312"/>
          <w:color w:val="000000" w:themeColor="text1"/>
          <w:sz w:val="32"/>
          <w:szCs w:val="32"/>
          <w14:textFill>
            <w14:solidFill>
              <w14:schemeClr w14:val="tx1"/>
            </w14:solidFill>
          </w14:textFill>
        </w:rPr>
        <w:t>万元。</w:t>
      </w:r>
    </w:p>
    <w:p>
      <w:pPr>
        <w:keepNext w:val="0"/>
        <w:keepLines w:val="0"/>
        <w:pageBreakBefore w:val="0"/>
        <w:widowControl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二、资金分配原则</w:t>
      </w:r>
    </w:p>
    <w:p>
      <w:pPr>
        <w:keepNext w:val="0"/>
        <w:keepLines w:val="0"/>
        <w:pageBreakBefore w:val="0"/>
        <w:widowControl w:val="0"/>
        <w:kinsoku/>
        <w:wordWrap/>
        <w:topLinePunct w:val="0"/>
        <w:bidi w:val="0"/>
        <w:snapToGrid/>
        <w:spacing w:line="560" w:lineRule="exact"/>
        <w:ind w:firstLine="64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资金分配以相关镇</w:t>
      </w:r>
      <w:r>
        <w:rPr>
          <w:rFonts w:hint="eastAsia" w:ascii="仿宋_GB2312" w:hAnsi="仿宋_GB2312" w:eastAsia="仿宋_GB2312" w:cs="仿宋_GB2312"/>
          <w:sz w:val="32"/>
          <w:szCs w:val="32"/>
          <w:lang w:eastAsia="zh-CN"/>
        </w:rPr>
        <w:t>和行业部门</w:t>
      </w:r>
      <w:r>
        <w:rPr>
          <w:rFonts w:hint="eastAsia" w:ascii="仿宋_GB2312" w:hAnsi="仿宋_GB2312" w:eastAsia="仿宋_GB2312" w:cs="仿宋_GB2312"/>
          <w:sz w:val="32"/>
          <w:szCs w:val="32"/>
        </w:rPr>
        <w:t>为单位，</w:t>
      </w:r>
      <w:r>
        <w:rPr>
          <w:rFonts w:hint="eastAsia" w:ascii="仿宋_GB2312" w:hAnsi="仿宋_GB2312" w:eastAsia="仿宋_GB2312" w:cs="仿宋_GB2312"/>
          <w:sz w:val="32"/>
          <w:szCs w:val="32"/>
          <w:lang w:eastAsia="zh-CN"/>
        </w:rPr>
        <w:t>依</w:t>
      </w:r>
      <w:r>
        <w:rPr>
          <w:rFonts w:hint="eastAsia" w:ascii="仿宋_GB2312" w:hAnsi="仿宋_GB2312" w:eastAsia="仿宋_GB2312" w:cs="仿宋_GB2312"/>
          <w:sz w:val="32"/>
          <w:szCs w:val="32"/>
          <w:lang w:val="en-US" w:eastAsia="zh-CN"/>
        </w:rPr>
        <w:t>据</w:t>
      </w:r>
      <w:r>
        <w:rPr>
          <w:rFonts w:hint="eastAsia" w:ascii="仿宋_GB2312" w:hAnsi="仿宋_GB2312" w:cs="仿宋_GB2312"/>
          <w:sz w:val="32"/>
          <w:szCs w:val="32"/>
          <w:lang w:val="en-US" w:eastAsia="zh-CN"/>
        </w:rPr>
        <w:t>我区政策性任务、未消除风险监测对象、新型农村集体经济村任务</w:t>
      </w:r>
      <w:r>
        <w:rPr>
          <w:rFonts w:hint="eastAsia" w:ascii="仿宋_GB2312" w:hAnsi="仿宋_GB2312" w:eastAsia="仿宋_GB2312" w:cs="仿宋_GB2312"/>
          <w:sz w:val="32"/>
          <w:szCs w:val="32"/>
          <w:lang w:val="en-US" w:eastAsia="zh-CN"/>
        </w:rPr>
        <w:t>，同时从有利于加快全区资金支付进度的角度，统筹考虑均衡分配。</w:t>
      </w:r>
      <w:r>
        <w:rPr>
          <w:rFonts w:hint="eastAsia" w:ascii="仿宋_GB2312" w:hAnsi="仿宋_GB2312" w:eastAsia="仿宋_GB2312" w:cs="仿宋_GB2312"/>
          <w:sz w:val="32"/>
          <w:szCs w:val="32"/>
        </w:rPr>
        <w:t>分配到相关乡镇</w:t>
      </w:r>
      <w:r>
        <w:rPr>
          <w:rFonts w:hint="eastAsia" w:ascii="仿宋_GB2312" w:hAnsi="仿宋_GB2312" w:eastAsia="仿宋_GB2312" w:cs="仿宋_GB2312"/>
          <w:sz w:val="32"/>
          <w:szCs w:val="32"/>
          <w:lang w:eastAsia="zh-CN"/>
        </w:rPr>
        <w:t>和各行业部门</w:t>
      </w:r>
      <w:r>
        <w:rPr>
          <w:rFonts w:hint="eastAsia" w:ascii="仿宋_GB2312" w:hAnsi="仿宋_GB2312" w:eastAsia="仿宋_GB2312" w:cs="仿宋_GB2312"/>
          <w:sz w:val="32"/>
          <w:szCs w:val="32"/>
        </w:rPr>
        <w:t>。</w:t>
      </w:r>
    </w:p>
    <w:p>
      <w:pPr>
        <w:keepNext w:val="0"/>
        <w:keepLines w:val="0"/>
        <w:pageBreakBefore w:val="0"/>
        <w:widowControl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三、资金使用范围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lang w:val="en-US" w:eastAsia="zh-CN" w:bidi="ar"/>
        </w:rPr>
        <w:t>本批分配资金安排要</w:t>
      </w:r>
      <w:r>
        <w:rPr>
          <w:rFonts w:hint="eastAsia" w:ascii="仿宋_GB2312" w:hAnsi="仿宋_GB2312" w:eastAsia="仿宋_GB2312" w:cs="仿宋_GB2312"/>
          <w:color w:val="auto"/>
          <w:sz w:val="32"/>
          <w:szCs w:val="32"/>
          <w:lang w:eastAsia="zh-CN"/>
        </w:rPr>
        <w:t>重点围绕巩固脱贫成果、全面推进乡村振兴，优先保障巩固脱贫成果需求，解决巩固拓展脱贫攻坚成果面临的突出问题</w:t>
      </w:r>
      <w:r>
        <w:rPr>
          <w:rFonts w:hint="eastAsia"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auto"/>
          <w:sz w:val="32"/>
          <w:szCs w:val="32"/>
          <w:lang w:eastAsia="zh-CN"/>
        </w:rPr>
        <w:t>着力推动产业发展壮大，强化产业与包括脱贫人口和监测帮扶对象在内的农户的利益联结。支持开展基础设施建设、生产设施配套、人居环境整治等乡村建设项目，统筹推进非贫困村基础设施补短板，牢牢守住不发生规模性返贫底线。根据《衔接推进乡村振兴补助资金绩效评价及考核办法》（财农〔2021〕122号）要求，</w:t>
      </w:r>
      <w:r>
        <w:rPr>
          <w:rFonts w:hint="eastAsia" w:ascii="仿宋_GB2312" w:hAnsi="仿宋_GB2312" w:cs="仿宋_GB2312"/>
          <w:color w:val="auto"/>
          <w:sz w:val="32"/>
          <w:szCs w:val="32"/>
          <w:lang w:eastAsia="zh-CN"/>
        </w:rPr>
        <w:t>我区中央</w:t>
      </w:r>
      <w:r>
        <w:rPr>
          <w:rFonts w:hint="eastAsia" w:ascii="仿宋_GB2312" w:hAnsi="仿宋_GB2312" w:eastAsia="仿宋_GB2312" w:cs="仿宋_GB2312"/>
          <w:color w:val="auto"/>
          <w:sz w:val="32"/>
          <w:szCs w:val="32"/>
          <w:lang w:eastAsia="zh-CN"/>
        </w:rPr>
        <w:t>衔接资金安排用于产业发展项目资金占比不得低于</w:t>
      </w:r>
      <w:r>
        <w:rPr>
          <w:rFonts w:hint="eastAsia" w:ascii="仿宋_GB2312" w:hAnsi="仿宋_GB2312" w:cs="仿宋_GB2312"/>
          <w:color w:val="auto"/>
          <w:sz w:val="32"/>
          <w:szCs w:val="32"/>
          <w:lang w:val="en-US" w:eastAsia="zh-CN"/>
        </w:rPr>
        <w:t>60</w:t>
      </w:r>
      <w:r>
        <w:rPr>
          <w:rFonts w:hint="eastAsia" w:ascii="仿宋_GB2312" w:hAnsi="仿宋_GB2312" w:eastAsia="仿宋_GB2312" w:cs="仿宋_GB2312"/>
          <w:color w:val="auto"/>
          <w:sz w:val="32"/>
          <w:szCs w:val="32"/>
          <w:lang w:eastAsia="zh-CN"/>
        </w:rPr>
        <w:t>%，且不得低于202</w:t>
      </w: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年</w:t>
      </w:r>
      <w:r>
        <w:rPr>
          <w:rFonts w:hint="eastAsia" w:ascii="仿宋_GB2312" w:hAnsi="仿宋_GB2312" w:cs="仿宋_GB2312"/>
          <w:color w:val="auto"/>
          <w:sz w:val="32"/>
          <w:szCs w:val="32"/>
          <w:lang w:eastAsia="zh-CN"/>
        </w:rPr>
        <w:t>中央资金</w:t>
      </w:r>
      <w:r>
        <w:rPr>
          <w:rFonts w:hint="eastAsia" w:ascii="仿宋_GB2312" w:hAnsi="仿宋_GB2312" w:eastAsia="仿宋_GB2312" w:cs="仿宋_GB2312"/>
          <w:color w:val="auto"/>
          <w:sz w:val="32"/>
          <w:szCs w:val="32"/>
          <w:lang w:eastAsia="zh-CN"/>
        </w:rPr>
        <w:t>用于产业发展项目资金占比</w:t>
      </w:r>
      <w:r>
        <w:rPr>
          <w:rFonts w:hint="eastAsia" w:ascii="仿宋_GB2312" w:hAnsi="仿宋_GB2312" w:cs="仿宋_GB2312"/>
          <w:color w:val="auto"/>
          <w:sz w:val="32"/>
          <w:szCs w:val="32"/>
          <w:highlight w:val="none"/>
          <w:lang w:val="en-US" w:eastAsia="zh-CN"/>
        </w:rPr>
        <w:t>56.88</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四、资金安排</w:t>
      </w:r>
    </w:p>
    <w:p>
      <w:pPr>
        <w:keepNext w:val="0"/>
        <w:keepLines w:val="0"/>
        <w:pageBreakBefore w:val="0"/>
        <w:widowControl w:val="0"/>
        <w:kinsoku/>
        <w:wordWrap/>
        <w:topLinePunct w:val="0"/>
        <w:bidi w:val="0"/>
        <w:snapToGrid/>
        <w:spacing w:line="560" w:lineRule="exact"/>
        <w:ind w:firstLine="640"/>
        <w:jc w:val="both"/>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根据资金分配原则和</w:t>
      </w:r>
      <w:r>
        <w:rPr>
          <w:rFonts w:hint="eastAsia" w:ascii="仿宋_GB2312" w:hAnsi="仿宋_GB2312" w:eastAsia="仿宋_GB2312" w:cs="仿宋_GB2312"/>
          <w:sz w:val="32"/>
          <w:szCs w:val="32"/>
          <w:lang w:val="en-US" w:eastAsia="zh-CN"/>
        </w:rPr>
        <w:t>巩固脱贫成果及衔接乡村振兴实际将</w:t>
      </w:r>
      <w:r>
        <w:rPr>
          <w:rFonts w:hint="eastAsia" w:ascii="仿宋_GB2312" w:hAnsi="仿宋_GB2312" w:cs="仿宋_GB2312"/>
          <w:sz w:val="32"/>
          <w:szCs w:val="32"/>
          <w:highlight w:val="none"/>
          <w:lang w:val="en-US" w:eastAsia="zh-CN"/>
        </w:rPr>
        <w:t>232</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rPr>
        <w:t>进行分配，分配安排如下：</w:t>
      </w:r>
    </w:p>
    <w:p>
      <w:pPr>
        <w:keepNext w:val="0"/>
        <w:keepLines w:val="0"/>
        <w:pageBreakBefore w:val="0"/>
        <w:widowControl w:val="0"/>
        <w:kinsoku/>
        <w:wordWrap/>
        <w:topLinePunct w:val="0"/>
        <w:bidi w:val="0"/>
        <w:snapToGrid/>
        <w:spacing w:line="560" w:lineRule="exact"/>
        <w:ind w:firstLine="643"/>
        <w:jc w:val="both"/>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cs="仿宋_GB2312"/>
          <w:b/>
          <w:bCs/>
          <w:color w:val="000000" w:themeColor="text1"/>
          <w:sz w:val="32"/>
          <w:szCs w:val="32"/>
          <w:highlight w:val="none"/>
          <w:lang w:val="en-US" w:eastAsia="zh-CN"/>
          <w14:textFill>
            <w14:solidFill>
              <w14:schemeClr w14:val="tx1"/>
            </w14:solidFill>
          </w14:textFill>
        </w:rPr>
        <w:t>乡村振兴局</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：24.5万元计划用于全区2023年雨露计划教育补助71人。</w:t>
      </w:r>
    </w:p>
    <w:p>
      <w:pPr>
        <w:keepNext w:val="0"/>
        <w:keepLines w:val="0"/>
        <w:pageBreakBefore w:val="0"/>
        <w:widowControl w:val="0"/>
        <w:kinsoku/>
        <w:wordWrap/>
        <w:topLinePunct w:val="0"/>
        <w:bidi w:val="0"/>
        <w:snapToGrid/>
        <w:spacing w:line="560" w:lineRule="exact"/>
        <w:ind w:firstLine="643"/>
        <w:jc w:val="both"/>
        <w:textAlignment w:val="auto"/>
        <w:rPr>
          <w:rFonts w:hint="eastAsia" w:ascii="仿宋_GB2312" w:hAnsi="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灵山镇</w:t>
      </w:r>
      <w:r>
        <w:rPr>
          <w:rFonts w:hint="eastAsia" w:ascii="仿宋_GB2312" w:hAnsi="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200万元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计划用于发展</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4个</w:t>
      </w:r>
      <w:r>
        <w:rPr>
          <w:rFonts w:hint="eastAsia" w:ascii="仿宋_GB2312" w:hAnsi="仿宋_GB2312" w:eastAsia="仿宋_GB2312" w:cs="仿宋_GB2312"/>
          <w:color w:val="000000" w:themeColor="text1"/>
          <w:sz w:val="32"/>
          <w:szCs w:val="32"/>
          <w:highlight w:val="none"/>
          <w14:textFill>
            <w14:solidFill>
              <w14:schemeClr w14:val="tx1"/>
            </w14:solidFill>
          </w14:textFill>
        </w:rPr>
        <w:t>村集体经济</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topLinePunct w:val="0"/>
        <w:bidi w:val="0"/>
        <w:snapToGrid/>
        <w:spacing w:line="560" w:lineRule="exact"/>
        <w:ind w:firstLine="643"/>
        <w:jc w:val="both"/>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cs="仿宋_GB2312"/>
          <w:b/>
          <w:bCs/>
          <w:color w:val="000000" w:themeColor="text1"/>
          <w:sz w:val="32"/>
          <w:szCs w:val="32"/>
          <w:highlight w:val="none"/>
          <w:lang w:val="en-US" w:eastAsia="zh-CN"/>
          <w14:textFill>
            <w14:solidFill>
              <w14:schemeClr w14:val="tx1"/>
            </w14:solidFill>
          </w14:textFill>
        </w:rPr>
        <w:t>大致坡镇</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：7.5万元用于大致坡镇金堆村委会人居环境巷道修建硬化路项目。</w:t>
      </w:r>
    </w:p>
    <w:p>
      <w:pPr>
        <w:keepNext w:val="0"/>
        <w:keepLines w:val="0"/>
        <w:pageBreakBefore w:val="0"/>
        <w:widowControl w:val="0"/>
        <w:kinsoku/>
        <w:wordWrap/>
        <w:topLinePunct w:val="0"/>
        <w:autoSpaceDE w:val="0"/>
        <w:autoSpaceDN w:val="0"/>
        <w:bidi w:val="0"/>
        <w:adjustRightInd w:val="0"/>
        <w:snapToGrid/>
        <w:spacing w:line="560" w:lineRule="exact"/>
        <w:ind w:firstLine="643"/>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有关要求</w:t>
      </w:r>
    </w:p>
    <w:p>
      <w:pPr>
        <w:keepNext w:val="0"/>
        <w:keepLines w:val="0"/>
        <w:pageBreakBefore w:val="0"/>
        <w:widowControl w:val="0"/>
        <w:kinsoku/>
        <w:wordWrap/>
        <w:topLinePunct w:val="0"/>
        <w:bidi w:val="0"/>
        <w:snapToGrid/>
        <w:spacing w:line="560" w:lineRule="exact"/>
        <w:jc w:val="both"/>
        <w:textAlignment w:val="auto"/>
        <w:rPr>
          <w:rStyle w:val="9"/>
          <w:rFonts w:hint="eastAsia" w:ascii="仿宋_GB2312" w:hAnsi="仿宋_GB2312" w:eastAsia="仿宋_GB2312" w:cs="仿宋_GB2312"/>
          <w:b w:val="0"/>
          <w:bCs/>
          <w:sz w:val="32"/>
          <w:szCs w:val="32"/>
          <w:lang w:eastAsia="zh-CN"/>
        </w:rPr>
      </w:pPr>
      <w:r>
        <w:rPr>
          <w:rStyle w:val="9"/>
          <w:rFonts w:hint="eastAsia" w:ascii="楷体_GB2312" w:hAnsi="楷体_GB2312" w:eastAsia="楷体_GB2312" w:cs="楷体_GB2312"/>
          <w:b w:val="0"/>
          <w:bCs/>
          <w:sz w:val="32"/>
          <w:szCs w:val="32"/>
          <w:lang w:eastAsia="zh-CN"/>
        </w:rPr>
        <w:t>（一）要切实做好巩固拓展脱贫攻坚成果和乡村振兴项目库管理工作。</w:t>
      </w:r>
      <w:r>
        <w:rPr>
          <w:rFonts w:hint="eastAsia" w:ascii="仿宋_GB2312" w:hAnsi="仿宋_GB2312" w:eastAsia="仿宋_GB2312" w:cs="仿宋_GB2312"/>
          <w:sz w:val="32"/>
          <w:szCs w:val="32"/>
          <w:lang w:eastAsia="zh-CN"/>
        </w:rPr>
        <w:t>各镇要从根本上扭转“不会谋划、不愿谋划、不认真谋划”的现状，加强项目库建设，抓紧谋划202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eastAsia="zh-CN"/>
        </w:rPr>
        <w:t>年巩固拓展脱贫攻坚成果和乡村振兴项目，明确项目绩效目标，完善项目储备，规范项目入库要求，进一步提高项目入库质量，</w:t>
      </w:r>
      <w:r>
        <w:rPr>
          <w:rFonts w:hint="eastAsia" w:ascii="仿宋_GB2312" w:hAnsi="仿宋_GB2312" w:eastAsia="仿宋_GB2312" w:cs="仿宋_GB2312"/>
          <w:sz w:val="32"/>
          <w:szCs w:val="32"/>
          <w:highlight w:val="none"/>
          <w:lang w:eastAsia="zh-CN"/>
        </w:rPr>
        <w:t>完成巩固脱贫攻坚成果和乡村振兴</w:t>
      </w:r>
      <w:r>
        <w:rPr>
          <w:rFonts w:hint="eastAsia" w:ascii="仿宋_GB2312" w:hAnsi="仿宋_GB2312" w:cs="仿宋_GB2312"/>
          <w:sz w:val="32"/>
          <w:szCs w:val="32"/>
          <w:highlight w:val="none"/>
          <w:lang w:eastAsia="zh-CN"/>
        </w:rPr>
        <w:t>两</w:t>
      </w:r>
      <w:r>
        <w:rPr>
          <w:rFonts w:hint="eastAsia" w:ascii="仿宋_GB2312" w:hAnsi="仿宋_GB2312" w:eastAsia="仿宋_GB2312" w:cs="仿宋_GB2312"/>
          <w:sz w:val="32"/>
          <w:szCs w:val="32"/>
          <w:highlight w:val="none"/>
          <w:lang w:eastAsia="zh-CN"/>
        </w:rPr>
        <w:t>年滚动项目库建设，</w:t>
      </w:r>
      <w:r>
        <w:rPr>
          <w:rFonts w:hint="eastAsia" w:ascii="仿宋_GB2312" w:hAnsi="仿宋_GB2312" w:eastAsia="仿宋_GB2312" w:cs="仿宋_GB2312"/>
          <w:sz w:val="32"/>
          <w:szCs w:val="32"/>
          <w:lang w:eastAsia="zh-CN"/>
        </w:rPr>
        <w:t>项目库入库项目资金规模达到</w:t>
      </w:r>
      <w:r>
        <w:rPr>
          <w:rFonts w:hint="eastAsia" w:ascii="仿宋_GB2312" w:hAnsi="仿宋_GB2312" w:eastAsia="仿宋_GB2312" w:cs="仿宋_GB2312"/>
          <w:sz w:val="32"/>
          <w:szCs w:val="32"/>
          <w:lang w:val="en-US" w:eastAsia="zh-CN"/>
        </w:rPr>
        <w:t>202</w:t>
      </w: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eastAsia="zh-CN"/>
        </w:rPr>
        <w:t>年入库项目资金规模的</w:t>
      </w:r>
      <w:r>
        <w:rPr>
          <w:rFonts w:hint="eastAsia" w:ascii="仿宋_GB2312" w:hAnsi="仿宋_GB2312" w:cs="仿宋_GB2312"/>
          <w:sz w:val="32"/>
          <w:szCs w:val="32"/>
          <w:lang w:val="en-US" w:eastAsia="zh-CN"/>
        </w:rPr>
        <w:t>1.5</w:t>
      </w:r>
      <w:r>
        <w:rPr>
          <w:rFonts w:hint="eastAsia" w:ascii="仿宋_GB2312" w:hAnsi="仿宋_GB2312" w:eastAsia="仿宋_GB2312" w:cs="仿宋_GB2312"/>
          <w:sz w:val="32"/>
          <w:szCs w:val="32"/>
          <w:lang w:eastAsia="zh-CN"/>
        </w:rPr>
        <w:t>倍以上。入库项目重点关注产业项目的谋划和储备，产业项目的谋划要依托当地资源优势和产业发展基础，合理布局乡村产业，促进产镇融合、产村一体，不断激发脱贫群众内生发展动力，持续增强村集体经济发展能力，发展壮大乡村特色产业，提高产业市场竞争力和质量效益，特别是要完善产业项目的联农带农机制和落实农产业项目投入资金占比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Style w:val="9"/>
          <w:rFonts w:hint="eastAsia" w:ascii="楷体_GB2312" w:hAnsi="楷体_GB2312" w:eastAsia="楷体_GB2312" w:cs="楷体_GB2312"/>
          <w:b w:val="0"/>
          <w:bCs/>
          <w:sz w:val="32"/>
          <w:szCs w:val="32"/>
          <w:lang w:eastAsia="zh-CN"/>
        </w:rPr>
        <w:t>（二）要及早实施项目。</w:t>
      </w:r>
      <w:r>
        <w:rPr>
          <w:rFonts w:hint="eastAsia" w:ascii="仿宋_GB2312" w:hAnsi="仿宋_GB2312" w:eastAsia="仿宋_GB2312" w:cs="仿宋_GB2312"/>
          <w:sz w:val="32"/>
          <w:szCs w:val="32"/>
        </w:rPr>
        <w:t>提前下达到各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的财政衔接资金务必于202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cs="仿宋_GB2312"/>
          <w:sz w:val="32"/>
          <w:szCs w:val="32"/>
          <w:lang w:eastAsia="zh-CN"/>
        </w:rPr>
        <w:t>中旬</w:t>
      </w:r>
      <w:r>
        <w:rPr>
          <w:rFonts w:hint="eastAsia" w:ascii="仿宋_GB2312" w:hAnsi="仿宋_GB2312" w:eastAsia="仿宋_GB2312" w:cs="仿宋_GB2312"/>
          <w:sz w:val="32"/>
          <w:szCs w:val="32"/>
        </w:rPr>
        <w:t>下达到具体项目单位，确保纳入202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年度资金项目计划且安排资金的项目力争在第</w:t>
      </w:r>
      <w:r>
        <w:rPr>
          <w:rFonts w:hint="eastAsia" w:ascii="仿宋_GB2312" w:hAnsi="仿宋_GB2312" w:cs="仿宋_GB2312"/>
          <w:sz w:val="32"/>
          <w:szCs w:val="32"/>
          <w:lang w:eastAsia="zh-CN"/>
        </w:rPr>
        <w:t>三</w:t>
      </w:r>
      <w:r>
        <w:rPr>
          <w:rFonts w:hint="eastAsia" w:ascii="仿宋_GB2312" w:hAnsi="仿宋_GB2312" w:eastAsia="仿宋_GB2312" w:cs="仿宋_GB2312"/>
          <w:sz w:val="32"/>
          <w:szCs w:val="32"/>
        </w:rPr>
        <w:t>季度开始全面组织实施。</w:t>
      </w:r>
    </w:p>
    <w:p>
      <w:pPr>
        <w:keepNext w:val="0"/>
        <w:keepLines w:val="0"/>
        <w:pageBreakBefore w:val="0"/>
        <w:widowControl w:val="0"/>
        <w:numPr>
          <w:ilvl w:val="0"/>
          <w:numId w:val="0"/>
        </w:numPr>
        <w:kinsoku/>
        <w:wordWrap/>
        <w:topLinePunct w:val="0"/>
        <w:bidi w:val="0"/>
        <w:snapToGrid/>
        <w:spacing w:line="560" w:lineRule="exact"/>
        <w:ind w:firstLine="640" w:firstLineChars="200"/>
        <w:jc w:val="both"/>
        <w:textAlignment w:val="auto"/>
        <w:rPr>
          <w:rFonts w:hint="eastAsia" w:ascii="仿宋_GB2312" w:hAnsi="仿宋_GB2312" w:eastAsia="仿宋_GB2312" w:cs="仿宋_GB2312"/>
          <w:sz w:val="32"/>
          <w:szCs w:val="32"/>
        </w:rPr>
      </w:pPr>
      <w:r>
        <w:rPr>
          <w:rStyle w:val="9"/>
          <w:rFonts w:hint="eastAsia" w:ascii="仿宋_GB2312" w:hAnsi="仿宋_GB2312" w:eastAsia="仿宋_GB2312" w:cs="仿宋_GB2312"/>
          <w:b w:val="0"/>
          <w:bCs/>
          <w:sz w:val="32"/>
          <w:szCs w:val="32"/>
          <w:lang w:eastAsia="zh-CN"/>
        </w:rPr>
        <w:t>（</w:t>
      </w:r>
      <w:r>
        <w:rPr>
          <w:rStyle w:val="9"/>
          <w:rFonts w:hint="eastAsia" w:ascii="楷体_GB2312" w:hAnsi="楷体_GB2312" w:eastAsia="楷体_GB2312" w:cs="楷体_GB2312"/>
          <w:b w:val="0"/>
          <w:bCs/>
          <w:sz w:val="32"/>
          <w:szCs w:val="32"/>
          <w:lang w:eastAsia="zh-CN"/>
        </w:rPr>
        <w:t>三）要强化工作督导。</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要建立项目建设台账，定期通报项目实施与资金支出进展情况；要实行月度调度制度，压实月度工作责任，坚持做到以月保季，以季保年，高质高效完成月度、季度、年度项目建设任务；</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乡村振兴局和</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财政局要健全督促约谈制度，组织开展督促检查。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乡村振兴局计划</w:t>
      </w: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rPr>
        <w:t>月下旬，将联合</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财政局对各镇工作进展情况进行一次实地督导。各</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要跟踪问效项目实施和资金支出进度，及时对项目实施与资金支出等进展缓慢的项目负责人进行约谈，督促限时整改，对整改不到位的要严肃问责。</w:t>
      </w:r>
    </w:p>
    <w:p>
      <w:pPr>
        <w:keepNext w:val="0"/>
        <w:keepLines w:val="0"/>
        <w:pageBreakBefore w:val="0"/>
        <w:widowControl w:val="0"/>
        <w:numPr>
          <w:ilvl w:val="0"/>
          <w:numId w:val="0"/>
        </w:numPr>
        <w:kinsoku/>
        <w:wordWrap/>
        <w:topLinePunct w:val="0"/>
        <w:bidi w:val="0"/>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Style w:val="9"/>
          <w:rFonts w:hint="eastAsia" w:ascii="楷体_GB2312" w:hAnsi="楷体_GB2312" w:eastAsia="楷体_GB2312" w:cs="楷体_GB2312"/>
          <w:b w:val="0"/>
          <w:bCs/>
          <w:sz w:val="32"/>
          <w:szCs w:val="32"/>
          <w:lang w:eastAsia="zh-CN"/>
        </w:rPr>
        <w:t>（四）加大监管力度。</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项目主管部门</w:t>
      </w:r>
      <w:r>
        <w:rPr>
          <w:rFonts w:hint="eastAsia" w:ascii="仿宋_GB2312" w:hAnsi="仿宋_GB2312" w:eastAsia="仿宋_GB2312" w:cs="仿宋_GB2312"/>
          <w:sz w:val="32"/>
          <w:szCs w:val="32"/>
        </w:rPr>
        <w:t>要落实监管责任，切实做好项目安排和资金使用管理、绩效管理、监督管理等工作。要严格执行“负面清单”管理，严禁将财政衔接资金用于巩固拓展脱贫攻坚成果和推进乡村产业振兴无关的项目，没有绩效目标或绩效目标不明确的项目不得安排财政衔接资金。要落实公告公示制度，年度衔接资金分配结果、项目安排和资金使用结果以及县级项目库建设等应按照《海南省扶贫办、海南省财政厅关于印发&lt;关于完善扶贫资金项目公告公示制度实施办法&gt;的通知》（琼扶办发〔</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184</w:t>
      </w:r>
      <w:r>
        <w:rPr>
          <w:rFonts w:hint="eastAsia" w:ascii="仿宋_GB2312" w:hAnsi="仿宋_GB2312" w:eastAsia="仿宋_GB2312" w:cs="仿宋_GB2312"/>
          <w:sz w:val="32"/>
          <w:szCs w:val="32"/>
        </w:rPr>
        <w:t>号）要求进行公告公示。要加强项目实施管理，督促项目主管部门按时完成衔接资金项目竣工验收，按照《关于加强扶贫项目资产后续管理的实施意见》（琼府办函〔2021〕</w:t>
      </w:r>
      <w:r>
        <w:rPr>
          <w:rFonts w:hint="eastAsia" w:ascii="仿宋_GB2312" w:hAnsi="仿宋_GB2312" w:eastAsia="仿宋_GB2312" w:cs="仿宋_GB2312"/>
          <w:sz w:val="32"/>
          <w:szCs w:val="32"/>
          <w:lang w:val="en-US" w:eastAsia="zh-CN"/>
        </w:rPr>
        <w:t>329</w:t>
      </w:r>
      <w:r>
        <w:rPr>
          <w:rFonts w:hint="eastAsia" w:ascii="仿宋_GB2312" w:hAnsi="仿宋_GB2312" w:eastAsia="仿宋_GB2312" w:cs="仿宋_GB2312"/>
          <w:sz w:val="32"/>
          <w:szCs w:val="32"/>
        </w:rPr>
        <w:t>号）要求开展确权登记并及时将项目资产移交所有者，落实好管护责任。要及时将财政衔接资金的到账、下拨、安排和项目实施与资金支出报账以及项目形成资产等情况录入全国防返贫监测信息系统。</w:t>
      </w:r>
    </w:p>
    <w:p>
      <w:pPr>
        <w:keepNext w:val="0"/>
        <w:keepLines w:val="0"/>
        <w:pageBreakBefore w:val="0"/>
        <w:widowControl w:val="0"/>
        <w:kinsoku/>
        <w:wordWrap/>
        <w:topLinePunct w:val="0"/>
        <w:bidi w:val="0"/>
        <w:snapToGrid/>
        <w:spacing w:line="560" w:lineRule="exact"/>
        <w:ind w:firstLine="64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topLinePunct w:val="0"/>
        <w:bidi w:val="0"/>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附件：美兰区</w:t>
      </w:r>
      <w:r>
        <w:rPr>
          <w:rFonts w:hint="eastAsia" w:ascii="仿宋_GB2312" w:hAnsi="仿宋_GB2312" w:eastAsia="仿宋_GB2312" w:cs="仿宋_GB2312"/>
          <w:sz w:val="32"/>
          <w:szCs w:val="32"/>
          <w:lang w:eastAsia="zh-CN"/>
        </w:rPr>
        <w:t>202</w:t>
      </w: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eastAsia="zh-CN"/>
        </w:rPr>
        <w:t>年中央财政衔接推进乡村振兴补助资金</w:t>
      </w:r>
      <w:r>
        <w:rPr>
          <w:rFonts w:hint="eastAsia" w:ascii="仿宋_GB2312" w:hAnsi="仿宋_GB2312" w:cs="仿宋_GB2312"/>
          <w:sz w:val="32"/>
          <w:szCs w:val="32"/>
          <w:lang w:eastAsia="zh-CN"/>
        </w:rPr>
        <w:t>（直达资金）</w:t>
      </w:r>
      <w:r>
        <w:rPr>
          <w:rFonts w:hint="eastAsia" w:ascii="仿宋_GB2312" w:hAnsi="仿宋_GB2312" w:eastAsia="仿宋_GB2312" w:cs="仿宋_GB2312"/>
          <w:sz w:val="32"/>
          <w:szCs w:val="32"/>
        </w:rPr>
        <w:t>分配表</w:t>
      </w:r>
    </w:p>
    <w:p>
      <w:pPr>
        <w:keepNext w:val="0"/>
        <w:keepLines w:val="0"/>
        <w:pageBreakBefore w:val="0"/>
        <w:widowControl w:val="0"/>
        <w:kinsoku/>
        <w:wordWrap/>
        <w:topLinePunct w:val="0"/>
        <w:bidi w:val="0"/>
        <w:snapToGrid/>
        <w:spacing w:line="560" w:lineRule="exact"/>
        <w:ind w:firstLine="64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topLinePunct w:val="0"/>
        <w:bidi w:val="0"/>
        <w:snapToGrid/>
        <w:spacing w:line="560" w:lineRule="exact"/>
        <w:ind w:firstLine="640"/>
        <w:jc w:val="both"/>
        <w:textAlignment w:val="auto"/>
        <w:rPr>
          <w:rFonts w:hint="eastAsia" w:ascii="仿宋_GB2312" w:hAnsi="仿宋_GB2312" w:eastAsia="仿宋_GB2312" w:cs="仿宋_GB2312"/>
          <w:sz w:val="32"/>
          <w:szCs w:val="32"/>
          <w:lang w:val="en-US" w:eastAsia="zh-CN"/>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4"/>
                        <w:szCs w:val="24"/>
                      </w:rPr>
                      <w:t xml:space="preserve"> —</w:t>
                    </w:r>
                  </w:p>
                </w:txbxContent>
              </v:textbox>
            </v:shape>
          </w:pict>
        </mc:Fallback>
      </mc:AlternateContent>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OWE2ODA4MjQxODFlY2NkOWY1NDhkMTI3N2ZmMjMifQ=="/>
  </w:docVars>
  <w:rsids>
    <w:rsidRoot w:val="00922BD4"/>
    <w:rsid w:val="00013871"/>
    <w:rsid w:val="000A5259"/>
    <w:rsid w:val="001807A0"/>
    <w:rsid w:val="003D19B3"/>
    <w:rsid w:val="003D4478"/>
    <w:rsid w:val="004177B1"/>
    <w:rsid w:val="00453FBB"/>
    <w:rsid w:val="0050055A"/>
    <w:rsid w:val="00526841"/>
    <w:rsid w:val="005A1B51"/>
    <w:rsid w:val="005C7605"/>
    <w:rsid w:val="006752C0"/>
    <w:rsid w:val="006A422C"/>
    <w:rsid w:val="0074098C"/>
    <w:rsid w:val="0075749E"/>
    <w:rsid w:val="0076130A"/>
    <w:rsid w:val="00776D1B"/>
    <w:rsid w:val="007E5036"/>
    <w:rsid w:val="008A53D9"/>
    <w:rsid w:val="008B4357"/>
    <w:rsid w:val="008E1016"/>
    <w:rsid w:val="00922BD4"/>
    <w:rsid w:val="009B124D"/>
    <w:rsid w:val="00AB61D4"/>
    <w:rsid w:val="00AB74FA"/>
    <w:rsid w:val="00AE6476"/>
    <w:rsid w:val="00B965B2"/>
    <w:rsid w:val="00BB1D89"/>
    <w:rsid w:val="00C421F4"/>
    <w:rsid w:val="00CC335E"/>
    <w:rsid w:val="00D13A52"/>
    <w:rsid w:val="00DF4DE0"/>
    <w:rsid w:val="00DF5A1D"/>
    <w:rsid w:val="00E73BE7"/>
    <w:rsid w:val="00EC609F"/>
    <w:rsid w:val="00FE1E05"/>
    <w:rsid w:val="088878BC"/>
    <w:rsid w:val="09555924"/>
    <w:rsid w:val="0A747091"/>
    <w:rsid w:val="0FFE370C"/>
    <w:rsid w:val="10303E6B"/>
    <w:rsid w:val="10783935"/>
    <w:rsid w:val="11AA15C3"/>
    <w:rsid w:val="11BC2B77"/>
    <w:rsid w:val="122104EC"/>
    <w:rsid w:val="19DB061A"/>
    <w:rsid w:val="1D4876BE"/>
    <w:rsid w:val="207856CF"/>
    <w:rsid w:val="24193F80"/>
    <w:rsid w:val="25277CC4"/>
    <w:rsid w:val="26AA7CF2"/>
    <w:rsid w:val="26C37006"/>
    <w:rsid w:val="27044A92"/>
    <w:rsid w:val="277144D0"/>
    <w:rsid w:val="29E018A1"/>
    <w:rsid w:val="2B7E7AAD"/>
    <w:rsid w:val="2C9D3A40"/>
    <w:rsid w:val="2E5D389C"/>
    <w:rsid w:val="2EBD433B"/>
    <w:rsid w:val="32982A78"/>
    <w:rsid w:val="35197EE9"/>
    <w:rsid w:val="3DA23853"/>
    <w:rsid w:val="3F8C5D6F"/>
    <w:rsid w:val="3FF10A14"/>
    <w:rsid w:val="42522AB9"/>
    <w:rsid w:val="439A6BE3"/>
    <w:rsid w:val="458A2D71"/>
    <w:rsid w:val="48AB3E9E"/>
    <w:rsid w:val="4D4538CE"/>
    <w:rsid w:val="501F49FD"/>
    <w:rsid w:val="56706E9A"/>
    <w:rsid w:val="57643D8A"/>
    <w:rsid w:val="60196BE7"/>
    <w:rsid w:val="611975E4"/>
    <w:rsid w:val="626F5A0C"/>
    <w:rsid w:val="6529596B"/>
    <w:rsid w:val="668613CB"/>
    <w:rsid w:val="6704426B"/>
    <w:rsid w:val="68991C29"/>
    <w:rsid w:val="68A9281A"/>
    <w:rsid w:val="6C7644B5"/>
    <w:rsid w:val="6D8A4E52"/>
    <w:rsid w:val="6E0A6AB3"/>
    <w:rsid w:val="6F101C89"/>
    <w:rsid w:val="708F5C16"/>
    <w:rsid w:val="735D6902"/>
    <w:rsid w:val="73DD0749"/>
    <w:rsid w:val="74175F15"/>
    <w:rsid w:val="7419338E"/>
    <w:rsid w:val="74C80403"/>
    <w:rsid w:val="7673349C"/>
    <w:rsid w:val="767B0330"/>
    <w:rsid w:val="77A13DC6"/>
    <w:rsid w:val="7D006E99"/>
    <w:rsid w:val="7EE6597D"/>
    <w:rsid w:val="7FC72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eastAsia="仿宋_GB2312" w:asciiTheme="minorAscii" w:hAnsiTheme="minorAscii" w:cstheme="minorBidi"/>
      <w:kern w:val="2"/>
      <w:sz w:val="32"/>
      <w:szCs w:val="22"/>
      <w:lang w:val="en-US" w:eastAsia="zh-CN" w:bidi="ar-SA"/>
    </w:rPr>
  </w:style>
  <w:style w:type="paragraph" w:styleId="2">
    <w:name w:val="heading 3"/>
    <w:basedOn w:val="1"/>
    <w:next w:val="1"/>
    <w:link w:val="9"/>
    <w:unhideWhenUsed/>
    <w:qFormat/>
    <w:uiPriority w:val="9"/>
    <w:pPr>
      <w:keepNext/>
      <w:keepLines/>
      <w:spacing w:beforeLines="0" w:beforeAutospacing="0" w:afterLines="0" w:afterAutospacing="0" w:line="520" w:lineRule="exact"/>
      <w:outlineLvl w:val="2"/>
    </w:pPr>
    <w:rPr>
      <w:rFonts w:eastAsia="楷体"/>
      <w:b/>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spacing w:line="240" w:lineRule="auto"/>
      <w:ind w:firstLine="0" w:firstLineChars="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spacing w:line="240" w:lineRule="auto"/>
      <w:ind w:firstLine="0" w:firstLineChars="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3 Char"/>
    <w:link w:val="2"/>
    <w:qFormat/>
    <w:uiPriority w:val="0"/>
    <w:rPr>
      <w:rFonts w:eastAsia="楷体"/>
      <w:b/>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1775</Words>
  <Characters>1844</Characters>
  <Lines>6</Lines>
  <Paragraphs>1</Paragraphs>
  <TotalTime>51</TotalTime>
  <ScaleCrop>false</ScaleCrop>
  <LinksUpToDate>false</LinksUpToDate>
  <CharactersWithSpaces>1844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2019-01-03T03:22:00Z</dcterms:created>
  <dc:creator>HP Inc.</dc:creator>
  <cp:lastModifiedBy>向鈤葵@微笑</cp:lastModifiedBy>
  <cp:lastPrinted>2023-06-20T02:31:11Z</cp:lastPrinted>
  <dcterms:modified xsi:type="dcterms:W3CDTF">2023-06-20T02:59:51Z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5CB25A3E349B40CB9914E02FF2032D8B</vt:lpwstr>
  </property>
</Properties>
</file>