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240" w:lineRule="auto"/>
        <w:ind w:firstLine="0" w:firstLineChars="0"/>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附件</w:t>
      </w:r>
      <w:r>
        <w:rPr>
          <w:rFonts w:hint="eastAsia" w:ascii="仿宋_GB2312" w:eastAsia="仿宋_GB2312" w:cs="宋体" w:hAnsiTheme="majorEastAsia"/>
          <w:kern w:val="0"/>
          <w:sz w:val="32"/>
          <w:szCs w:val="32"/>
          <w:lang w:val="en-US" w:eastAsia="zh-CN"/>
        </w:rPr>
        <w:t>1</w:t>
      </w:r>
      <w:bookmarkStart w:id="0" w:name="_GoBack"/>
      <w:bookmarkEnd w:id="0"/>
      <w:r>
        <w:rPr>
          <w:rFonts w:hint="eastAsia" w:ascii="仿宋_GB2312" w:eastAsia="仿宋_GB2312" w:cs="宋体" w:hAnsiTheme="major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海口市美兰区</w:t>
      </w: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lang w:eastAsia="zh-CN"/>
        </w:rPr>
        <w:t>年省级第二批财政衔接推进乡村振兴补助资金（直达资金）</w:t>
      </w:r>
      <w:r>
        <w:rPr>
          <w:rFonts w:hint="eastAsia" w:ascii="方正小标宋简体" w:hAnsi="方正小标宋简体" w:eastAsia="方正小标宋简体" w:cs="方正小标宋简体"/>
          <w:b w:val="0"/>
          <w:bCs/>
          <w:sz w:val="44"/>
          <w:szCs w:val="44"/>
        </w:rPr>
        <w:t>分配</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方</w:t>
      </w:r>
      <w:r>
        <w:rPr>
          <w:rFonts w:hint="eastAsia" w:ascii="方正小标宋简体" w:hAnsi="方正小标宋简体" w:eastAsia="方正小标宋简体" w:cs="方正小标宋简体"/>
          <w:b w:val="0"/>
          <w:bCs/>
          <w:kern w:val="0"/>
          <w:sz w:val="44"/>
          <w:szCs w:val="44"/>
        </w:rPr>
        <w:t>案</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val="0"/>
          <w:bCs/>
          <w:kern w:val="0"/>
          <w:sz w:val="44"/>
          <w:szCs w:val="44"/>
        </w:rPr>
      </w:pPr>
    </w:p>
    <w:p>
      <w:pPr>
        <w:keepNext w:val="0"/>
        <w:keepLines w:val="0"/>
        <w:pageBreakBefore w:val="0"/>
        <w:kinsoku/>
        <w:wordWrap/>
        <w:topLinePunct w:val="0"/>
        <w:bidi w:val="0"/>
        <w:snapToGrid/>
        <w:spacing w:beforeLines="5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为进一步提高</w:t>
      </w:r>
      <w:r>
        <w:rPr>
          <w:rFonts w:hint="eastAsia" w:ascii="仿宋_GB2312" w:hAnsi="仿宋_GB2312" w:eastAsia="仿宋_GB2312" w:cs="仿宋_GB2312"/>
          <w:kern w:val="0"/>
          <w:sz w:val="32"/>
          <w:szCs w:val="32"/>
          <w:lang w:eastAsia="zh-CN"/>
        </w:rPr>
        <w:t>衔接</w:t>
      </w:r>
      <w:r>
        <w:rPr>
          <w:rFonts w:hint="eastAsia" w:ascii="仿宋_GB2312" w:hAnsi="仿宋_GB2312" w:eastAsia="仿宋_GB2312" w:cs="仿宋_GB2312"/>
          <w:kern w:val="0"/>
          <w:sz w:val="32"/>
          <w:szCs w:val="32"/>
        </w:rPr>
        <w:t>资金使用效益，确保完成年度目标任务，</w:t>
      </w:r>
      <w:r>
        <w:rPr>
          <w:rFonts w:hint="eastAsia" w:ascii="仿宋_GB2312" w:hAnsi="仿宋_GB2312" w:eastAsia="仿宋_GB2312" w:cs="仿宋_GB2312"/>
          <w:sz w:val="32"/>
          <w:szCs w:val="32"/>
        </w:rPr>
        <w:t>结合相关单位、各镇测算的资金量和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巩固脱贫成果及衔接乡村振兴实际</w:t>
      </w:r>
      <w:r>
        <w:rPr>
          <w:rFonts w:hint="eastAsia" w:ascii="仿宋_GB2312" w:hAnsi="仿宋_GB2312" w:eastAsia="仿宋_GB2312" w:cs="仿宋_GB2312"/>
          <w:sz w:val="32"/>
          <w:szCs w:val="32"/>
        </w:rPr>
        <w:t>，特制订本方案。</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一、资金到位情况</w:t>
      </w:r>
    </w:p>
    <w:p>
      <w:pPr>
        <w:keepNext w:val="0"/>
        <w:keepLines w:val="0"/>
        <w:pageBreakBefore w:val="0"/>
        <w:widowControl w:val="0"/>
        <w:numPr>
          <w:ilvl w:val="0"/>
          <w:numId w:val="0"/>
        </w:numPr>
        <w:tabs>
          <w:tab w:val="left" w:pos="546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Calibri" w:eastAsia="仿宋_GB2312" w:cs="仿宋_GB2312"/>
          <w:color w:val="000000"/>
          <w:kern w:val="0"/>
          <w:sz w:val="32"/>
          <w:szCs w:val="32"/>
          <w:lang w:val="en-US" w:eastAsia="zh-CN" w:bidi="ar"/>
        </w:rPr>
        <w:t>海口市乡村振兴局</w:t>
      </w:r>
      <w:r>
        <w:rPr>
          <w:rFonts w:hint="eastAsia" w:ascii="仿宋_GB2312" w:hAnsi="Calibri" w:eastAsia="仿宋_GB2312" w:cs="仿宋_GB2312"/>
          <w:color w:val="000000"/>
          <w:kern w:val="0"/>
          <w:sz w:val="32"/>
          <w:szCs w:val="32"/>
          <w:highlight w:val="none"/>
          <w:lang w:val="en-US" w:eastAsia="zh-CN" w:bidi="ar"/>
        </w:rPr>
        <w:t>《关于2023年省级财政衔接推进乡村振兴补助资金（直达资金）的通知》（海乡振发〔2023〕12号）</w:t>
      </w:r>
      <w:r>
        <w:rPr>
          <w:rFonts w:hint="eastAsia" w:ascii="仿宋_GB2312" w:hAnsi="仿宋_GB2312" w:eastAsia="仿宋_GB2312" w:cs="仿宋_GB2312"/>
          <w:color w:val="000000" w:themeColor="text1"/>
          <w:sz w:val="32"/>
          <w:szCs w:val="32"/>
          <w:highlight w:val="none"/>
          <w14:textFill>
            <w14:solidFill>
              <w14:schemeClr w14:val="tx1"/>
            </w14:solidFill>
          </w14:textFill>
        </w:rPr>
        <w:t>的文件精神，</w:t>
      </w:r>
      <w:r>
        <w:rPr>
          <w:rFonts w:hint="eastAsia" w:ascii="仿宋_GB2312" w:hAnsi="仿宋_GB2312" w:eastAsia="仿宋_GB2312" w:cs="仿宋_GB2312"/>
          <w:color w:val="000000" w:themeColor="text1"/>
          <w:sz w:val="32"/>
          <w:szCs w:val="32"/>
          <w14:textFill>
            <w14:solidFill>
              <w14:schemeClr w14:val="tx1"/>
            </w14:solidFill>
          </w14:textFill>
        </w:rPr>
        <w:t>分配我区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lang w:eastAsia="zh-CN"/>
          <w14:textFill>
            <w14:solidFill>
              <w14:schemeClr w14:val="tx1"/>
            </w14:solidFill>
          </w14:textFill>
        </w:rPr>
        <w:t>年省级第二批财政衔接推进乡村振兴补助资金（直达资金）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479</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二、资金分配原则</w:t>
      </w:r>
    </w:p>
    <w:p>
      <w:pPr>
        <w:keepNext w:val="0"/>
        <w:keepLines w:val="0"/>
        <w:pageBreakBefore w:val="0"/>
        <w:widowControl/>
        <w:suppressLineNumbers w:val="0"/>
        <w:kinsoku/>
        <w:wordWrap/>
        <w:topLinePunct w:val="0"/>
        <w:bidi w:val="0"/>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资金分配以相关镇</w:t>
      </w:r>
      <w:r>
        <w:rPr>
          <w:rFonts w:hint="eastAsia" w:ascii="仿宋_GB2312" w:hAnsi="仿宋_GB2312" w:eastAsia="仿宋_GB2312" w:cs="仿宋_GB2312"/>
          <w:sz w:val="32"/>
          <w:szCs w:val="32"/>
          <w:lang w:eastAsia="zh-CN"/>
        </w:rPr>
        <w:t>和行业部门</w:t>
      </w:r>
      <w:r>
        <w:rPr>
          <w:rFonts w:hint="eastAsia" w:ascii="仿宋_GB2312" w:hAnsi="仿宋_GB2312" w:eastAsia="仿宋_GB2312" w:cs="仿宋_GB2312"/>
          <w:sz w:val="32"/>
          <w:szCs w:val="32"/>
        </w:rPr>
        <w:t>为单位，</w:t>
      </w:r>
      <w:r>
        <w:rPr>
          <w:rFonts w:hint="eastAsia" w:ascii="仿宋_GB2312" w:hAnsi="仿宋_GB2312" w:eastAsia="仿宋_GB2312" w:cs="仿宋_GB2312"/>
          <w:color w:val="auto"/>
          <w:sz w:val="32"/>
          <w:szCs w:val="32"/>
          <w:highlight w:val="none"/>
          <w:lang w:val="en-US" w:eastAsia="zh-CN"/>
        </w:rPr>
        <w:t>依据人居环境整治；美丽渔村创建；脱贫人口、边缘易致贫人口数量；农村居民可支配收入；新型农村集体经济村任务；2022年度资金绩效评价及相关考核结果，</w:t>
      </w:r>
      <w:r>
        <w:rPr>
          <w:rFonts w:hint="eastAsia" w:ascii="仿宋_GB2312" w:hAnsi="仿宋_GB2312" w:eastAsia="仿宋_GB2312" w:cs="仿宋_GB2312"/>
          <w:sz w:val="32"/>
          <w:szCs w:val="32"/>
          <w:highlight w:val="none"/>
          <w:lang w:val="en-US" w:eastAsia="zh-CN"/>
        </w:rPr>
        <w:t>和各镇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2023</w:t>
      </w:r>
      <w:r>
        <w:rPr>
          <w:rFonts w:hint="eastAsia" w:ascii="仿宋_GB2312" w:hAnsi="仿宋_GB2312" w:eastAsia="仿宋_GB2312" w:cs="仿宋_GB2312"/>
          <w:sz w:val="32"/>
          <w:szCs w:val="32"/>
          <w:highlight w:val="none"/>
          <w:lang w:val="en-US" w:eastAsia="zh-CN"/>
        </w:rPr>
        <w:t>年项目库中的产业发展类所需资金总量的占比情况，同</w:t>
      </w:r>
      <w:r>
        <w:rPr>
          <w:rFonts w:hint="eastAsia" w:ascii="仿宋_GB2312" w:hAnsi="仿宋_GB2312" w:eastAsia="仿宋_GB2312" w:cs="仿宋_GB2312"/>
          <w:sz w:val="32"/>
          <w:szCs w:val="32"/>
          <w:lang w:val="en-US" w:eastAsia="zh-CN"/>
        </w:rPr>
        <w:t>时从有利于加快全区资金支付进度的角度，统筹考虑均衡分配。</w:t>
      </w:r>
      <w:r>
        <w:rPr>
          <w:rFonts w:hint="eastAsia" w:ascii="仿宋_GB2312" w:hAnsi="仿宋_GB2312" w:eastAsia="仿宋_GB2312" w:cs="仿宋_GB2312"/>
          <w:sz w:val="32"/>
          <w:szCs w:val="32"/>
        </w:rPr>
        <w:t>分配到相关乡镇</w:t>
      </w:r>
      <w:r>
        <w:rPr>
          <w:rFonts w:hint="eastAsia" w:ascii="仿宋_GB2312" w:hAnsi="仿宋_GB2312" w:eastAsia="仿宋_GB2312" w:cs="仿宋_GB2312"/>
          <w:sz w:val="32"/>
          <w:szCs w:val="32"/>
          <w:lang w:eastAsia="zh-CN"/>
        </w:rPr>
        <w:t>和各行业部门</w:t>
      </w:r>
      <w:r>
        <w:rPr>
          <w:rFonts w:hint="eastAsia" w:ascii="仿宋_GB2312" w:hAnsi="仿宋_GB2312" w:eastAsia="仿宋_GB2312" w:cs="仿宋_GB2312"/>
          <w:sz w:val="32"/>
          <w:szCs w:val="32"/>
        </w:rPr>
        <w:t>。</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三、资金使用范围</w:t>
      </w:r>
    </w:p>
    <w:p>
      <w:pPr>
        <w:keepNext w:val="0"/>
        <w:keepLines w:val="0"/>
        <w:pageBreakBefore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lang w:val="en-US" w:eastAsia="zh-CN" w:bidi="ar"/>
        </w:rPr>
        <w:t>本批分配资金安排要重点支持巩固脱贫成果，积极衔接推进乡村产业振兴，解决巩固拓展脱贫攻坚成果面临的突出问题。一是落实产业占比要求，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kern w:val="0"/>
          <w:sz w:val="32"/>
          <w:szCs w:val="32"/>
          <w:lang w:val="en-US" w:eastAsia="zh-CN" w:bidi="ar"/>
        </w:rPr>
        <w:t>年各级财政衔接资金（包括中央、省级、市县级）安排用于产业发展项目资金占比不得低于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w:t>
      </w:r>
      <w:r>
        <w:rPr>
          <w:rFonts w:hint="eastAsia" w:ascii="仿宋_GB2312" w:hAnsi="仿宋_GB2312" w:eastAsia="仿宋_GB2312" w:cs="仿宋_GB2312"/>
          <w:color w:val="000000"/>
          <w:kern w:val="0"/>
          <w:sz w:val="32"/>
          <w:szCs w:val="32"/>
          <w:lang w:val="en-US" w:eastAsia="zh-CN" w:bidi="ar"/>
        </w:rPr>
        <w:t>%。着力推动产业发展壮大，强化产业项目的联农带农机制，重点关注包括脱贫人口和监测帮扶对象在内的农户的利益联结。二是支持开展基础设施建设、生产设施配套、人居环境整治等乡村建设项目。</w:t>
      </w:r>
      <w:r>
        <w:rPr>
          <w:rFonts w:hint="eastAsia" w:ascii="仿宋_GB2312" w:hAnsi="仿宋_GB2312" w:eastAsia="仿宋_GB2312" w:cs="仿宋_GB2312"/>
          <w:color w:val="auto"/>
          <w:sz w:val="32"/>
          <w:szCs w:val="32"/>
          <w:lang w:val="en-US" w:eastAsia="zh-CN"/>
        </w:rPr>
        <w:t>可统筹安排省级衔接资金,支持非贫困村、革命老区村庄发展产业、补齐必要的基础设施短板及乡村振兴规划相关项目,牢牢守住不发生规模性返贫底线可统筹安排省级衔接资金,支持非贫困村、革命老区村庄发展产业、补齐必要的基础设施短板及乡村振兴规划相关项目,牢牢守住不发生规模性返贫底线。三是支持沿海发展休闲渔业,创建休闲渔业示范村建设。四是支持环岛旅游公路相关联创建美丽乡村建设。五是贯彻落实党的二十大关于发展新型农村集体经济的决策部署,2023年起扶持发展村级集体经济统一纳入衔接资金支持范围。中央、省级和市县级衔接资金的补助标准分别为50万元/村/年、40万元/村/年、10万元/村/年,2023年全市共扶持12个行政村。确定扶持对象时,优先选择村党组织凝聚力、战斗力强,村集体成员发展意愿强烈、有广泛共识,具备发展新型农村集体经济的资源、资产、区位、产业基础等条件的村,重点向项目成熟、管理规范的村倾斜。对2018年至2022年已获得中央财政农村综合性改革转移支付扶持壮大村级集体经济资金支持的村,一般不纳入此轮扶持范围。</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四、资金安排</w:t>
      </w:r>
    </w:p>
    <w:p>
      <w:pPr>
        <w:keepNext w:val="0"/>
        <w:keepLines w:val="0"/>
        <w:pageBreakBefore w:val="0"/>
        <w:kinsoku/>
        <w:wordWrap/>
        <w:topLinePunct w:val="0"/>
        <w:bidi w:val="0"/>
        <w:snapToGrid/>
        <w:spacing w:line="560" w:lineRule="exact"/>
        <w:ind w:firstLine="64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根据资金分配原则和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巩固脱贫成果及衔接乡村振兴实际</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省级第二批财政衔接推进乡村振兴补助资金（直达资金）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479</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进行分配，分配安排如下：</w:t>
      </w:r>
    </w:p>
    <w:p>
      <w:pPr>
        <w:keepNext w:val="0"/>
        <w:keepLines w:val="0"/>
        <w:pageBreakBefore w:val="0"/>
        <w:kinsoku/>
        <w:wordWrap/>
        <w:topLinePunct w:val="0"/>
        <w:bidi w:val="0"/>
        <w:snapToGrid/>
        <w:spacing w:line="560" w:lineRule="exact"/>
        <w:ind w:firstLine="643"/>
        <w:jc w:val="both"/>
        <w:textAlignment w:val="auto"/>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灵山镇：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万元计划</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用于发展村集体经济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kinsoku/>
        <w:wordWrap/>
        <w:topLinePunct w:val="0"/>
        <w:bidi w:val="0"/>
        <w:snapToGrid/>
        <w:spacing w:line="560" w:lineRule="exact"/>
        <w:ind w:firstLine="643"/>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演丰镇：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万元计划用于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演丰镇北港村美丽渔村建设项目。</w:t>
      </w:r>
    </w:p>
    <w:p>
      <w:pPr>
        <w:keepNext w:val="0"/>
        <w:keepLines w:val="0"/>
        <w:pageBreakBefore w:val="0"/>
        <w:kinsoku/>
        <w:wordWrap/>
        <w:topLinePunct w:val="0"/>
        <w:bidi w:val="0"/>
        <w:snapToGrid/>
        <w:spacing w:line="560" w:lineRule="exact"/>
        <w:ind w:firstLine="643"/>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三江镇：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40万元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计划用于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发展村集体经济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;40万元计划用于基础设施项目。</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大致坡镇：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39</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万元计划用于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人居环境项目。</w:t>
      </w:r>
    </w:p>
    <w:p>
      <w:pPr>
        <w:keepNext w:val="0"/>
        <w:keepLines w:val="0"/>
        <w:pageBreakBefore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Style w:val="13"/>
          <w:rFonts w:hint="eastAsia" w:ascii="楷体_GB2312" w:hAnsi="楷体_GB2312" w:eastAsia="楷体_GB2312" w:cs="楷体_GB2312"/>
          <w:b w:val="0"/>
          <w:bCs/>
          <w:sz w:val="32"/>
          <w:szCs w:val="32"/>
          <w:lang w:eastAsia="zh-CN"/>
        </w:rPr>
        <w:t>（一）要切实做好巩固拓展脱贫攻坚成果和乡村振兴项目库管理工作。</w:t>
      </w:r>
      <w:r>
        <w:rPr>
          <w:rFonts w:hint="eastAsia" w:ascii="仿宋_GB2312" w:hAnsi="仿宋_GB2312" w:eastAsia="仿宋_GB2312" w:cs="仿宋_GB2312"/>
          <w:sz w:val="32"/>
          <w:szCs w:val="32"/>
          <w:lang w:eastAsia="zh-CN"/>
        </w:rPr>
        <w:t>各镇要从根本上扭转“不会谋划、不愿谋划、不认真谋划”的现状，加强项目库建设，抓紧谋划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 年巩固拓展脱贫攻坚成果和乡村振兴项目，明确项目绩效目标，完善项目储备，规范项目入库要求，进一步提高项目入库质量，</w:t>
      </w:r>
      <w:r>
        <w:rPr>
          <w:rFonts w:hint="eastAsia" w:ascii="仿宋_GB2312" w:hAnsi="仿宋_GB2312" w:eastAsia="仿宋_GB2312" w:cs="仿宋_GB2312"/>
          <w:sz w:val="32"/>
          <w:szCs w:val="32"/>
          <w:highlight w:val="none"/>
          <w:lang w:eastAsia="zh-CN"/>
        </w:rPr>
        <w:t>完成巩固脱贫攻坚成果和乡村振兴</w:t>
      </w:r>
      <w:r>
        <w:rPr>
          <w:rFonts w:hint="eastAsia" w:ascii="仿宋_GB2312" w:hAnsi="仿宋_GB2312" w:eastAsia="仿宋_GB2312" w:cs="仿宋_GB2312"/>
          <w:sz w:val="32"/>
          <w:szCs w:val="32"/>
          <w:highlight w:val="none"/>
          <w:lang w:val="en-US" w:eastAsia="zh-CN"/>
        </w:rPr>
        <w:t>两</w:t>
      </w:r>
      <w:r>
        <w:rPr>
          <w:rFonts w:hint="eastAsia" w:ascii="仿宋_GB2312" w:hAnsi="仿宋_GB2312" w:eastAsia="仿宋_GB2312" w:cs="仿宋_GB2312"/>
          <w:sz w:val="32"/>
          <w:szCs w:val="32"/>
          <w:highlight w:val="none"/>
          <w:lang w:eastAsia="zh-CN"/>
        </w:rPr>
        <w:t>年滚动项目库建设，</w:t>
      </w:r>
      <w:r>
        <w:rPr>
          <w:rFonts w:hint="eastAsia" w:ascii="仿宋_GB2312" w:hAnsi="仿宋_GB2312" w:eastAsia="仿宋_GB2312" w:cs="仿宋_GB2312"/>
          <w:sz w:val="32"/>
          <w:szCs w:val="32"/>
          <w:lang w:eastAsia="zh-CN"/>
        </w:rPr>
        <w:t>项目库入库项目资金规模达到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 年入库项目资金规模的</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倍以上。入库项目重点关注产业项目的谋划和储备，产业项目的谋划要依托当地资源优势和产业发展基础，合理布局乡村产业，促进产镇融合、产村一体，不断激发脱贫群众内生发展动力，持续增强村集体经济发展能力，发展壮大乡村特色产业，提高产业市场竞争力和质量效益，特别是要完善产业项目的联农带农机制和落实农产业项目投入资金占比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Style w:val="13"/>
          <w:rFonts w:hint="eastAsia" w:ascii="楷体_GB2312" w:hAnsi="楷体_GB2312" w:eastAsia="楷体_GB2312" w:cs="楷体_GB2312"/>
          <w:b w:val="0"/>
          <w:bCs/>
          <w:sz w:val="32"/>
          <w:szCs w:val="32"/>
          <w:lang w:eastAsia="zh-CN"/>
        </w:rPr>
        <w:t>（二）要及早实施项目。</w:t>
      </w:r>
      <w:r>
        <w:rPr>
          <w:rFonts w:hint="eastAsia" w:ascii="仿宋_GB2312" w:hAnsi="仿宋_GB2312" w:eastAsia="仿宋_GB2312" w:cs="仿宋_GB2312"/>
          <w:sz w:val="32"/>
          <w:szCs w:val="32"/>
        </w:rPr>
        <w:t>提前下达到各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的财政衔接资金务必于202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rPr>
        <w:t>月下达到具体项目单位，确保纳入202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年度资金项目计划且安排资金的项目力争在第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季度开始全面组织实施。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Style w:val="13"/>
          <w:rFonts w:hint="eastAsia" w:ascii="楷体_GB2312" w:hAnsi="楷体_GB2312" w:eastAsia="楷体_GB2312" w:cs="楷体_GB2312"/>
          <w:b w:val="0"/>
          <w:bCs/>
          <w:sz w:val="32"/>
          <w:szCs w:val="32"/>
          <w:lang w:eastAsia="zh-CN"/>
        </w:rPr>
        <w:t>（三）要强化工作督导。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要建立项目建设台账，定期通报项目实施与资金支出进展情况；要实行月度调度制度，压实月度工作责任，坚持做到以月保季，以季保年，高质高效完成月度、季度、年度项目建设任务；</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乡村振兴局和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财政局要健全督促约谈制度，组织开展督促检查。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乡村振兴局计划</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月下旬，将联合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财政局对各镇工作进展情况进行一次实地督导。各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要跟踪问效项目实施和资金支出进度，及时对项目实施与资金支出等进展缓慢的项目负责人进行约谈，督促限时整改，对整改不到位的要严肃问责。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Style w:val="13"/>
          <w:rFonts w:hint="eastAsia" w:ascii="楷体_GB2312" w:hAnsi="楷体_GB2312" w:eastAsia="楷体_GB2312" w:cs="楷体_GB2312"/>
          <w:b w:val="0"/>
          <w:bCs/>
          <w:sz w:val="32"/>
          <w:szCs w:val="32"/>
          <w:lang w:eastAsia="zh-CN"/>
        </w:rPr>
        <w:t>（四）加大监管力度。</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项目主管部门</w:t>
      </w:r>
      <w:r>
        <w:rPr>
          <w:rFonts w:hint="eastAsia" w:ascii="仿宋_GB2312" w:hAnsi="仿宋_GB2312" w:eastAsia="仿宋_GB2312" w:cs="仿宋_GB2312"/>
          <w:sz w:val="32"/>
          <w:szCs w:val="32"/>
        </w:rPr>
        <w:t>要落实监管责任，切实做好项目安排和资金使用管理、绩效管理、监督管理等工作。要严格执行“负面清单”管理，严禁将财政衔接资金用于巩固拓展脱贫攻坚成果和推进乡村产业振兴无关的项目，没有绩效目标或绩效目标不明确的项目不得安排财政衔接资金。要落实公告公示制度，年度衔接资金分配结果、项目安排和资金使用结果以及县级项目库建设等应按照《海南省扶贫办、海南省财政厅关于印发&lt;关于完善扶贫资金项目公告公示制度实施办法&gt;的通知》（琼扶办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184</w:t>
      </w:r>
      <w:r>
        <w:rPr>
          <w:rFonts w:hint="eastAsia" w:ascii="仿宋_GB2312" w:hAnsi="仿宋_GB2312" w:eastAsia="仿宋_GB2312" w:cs="仿宋_GB2312"/>
          <w:sz w:val="32"/>
          <w:szCs w:val="32"/>
        </w:rPr>
        <w:t>号）要求进行公告公示。要加强项目实施管理，督促项目主管部门按时完成衔接资金项目竣工验收，按照《关于加强扶贫项目资产后续管理的实施意见》（琼府办函〔2021〕</w:t>
      </w:r>
      <w:r>
        <w:rPr>
          <w:rFonts w:hint="eastAsia" w:ascii="仿宋_GB2312" w:hAnsi="仿宋_GB2312" w:eastAsia="仿宋_GB2312" w:cs="仿宋_GB2312"/>
          <w:sz w:val="32"/>
          <w:szCs w:val="32"/>
          <w:lang w:val="en-US" w:eastAsia="zh-CN"/>
        </w:rPr>
        <w:t>329</w:t>
      </w:r>
      <w:r>
        <w:rPr>
          <w:rFonts w:hint="eastAsia" w:ascii="仿宋_GB2312" w:hAnsi="仿宋_GB2312" w:eastAsia="仿宋_GB2312" w:cs="仿宋_GB2312"/>
          <w:sz w:val="32"/>
          <w:szCs w:val="32"/>
        </w:rPr>
        <w:t>号）要求开展确权登记并及时将项目资产移交所有者，落实好管护责任。要及时将财政衔接资金的到账、下拨、安排和项目实施与资金支出报账以及项目形成资产等情况录入全国防返贫监测信息系统。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附件：美兰区</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年省级第二批财政衔接推进乡村振兴补助资金（直达资金）</w:t>
      </w:r>
      <w:r>
        <w:rPr>
          <w:rFonts w:hint="eastAsia" w:ascii="仿宋_GB2312" w:hAnsi="仿宋_GB2312" w:eastAsia="仿宋_GB2312" w:cs="仿宋_GB2312"/>
          <w:sz w:val="32"/>
          <w:szCs w:val="32"/>
        </w:rPr>
        <w:t>分配表</w:t>
      </w:r>
    </w:p>
    <w:p>
      <w:pPr>
        <w:keepNext w:val="0"/>
        <w:keepLines w:val="0"/>
        <w:pageBreakBefore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topLinePunct w:val="0"/>
        <w:bidi w:val="0"/>
        <w:snapToGrid/>
        <w:spacing w:line="560" w:lineRule="exact"/>
        <w:jc w:val="both"/>
        <w:textAlignment w:val="auto"/>
        <w:rPr>
          <w:rFonts w:hint="eastAsia"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WE2ODA4MjQxODFlY2NkOWY1NDhkMTI3N2ZmMjMifQ=="/>
  </w:docVars>
  <w:rsids>
    <w:rsidRoot w:val="30391668"/>
    <w:rsid w:val="00B67777"/>
    <w:rsid w:val="010A473C"/>
    <w:rsid w:val="03A959F5"/>
    <w:rsid w:val="03CA64F8"/>
    <w:rsid w:val="050F7ADA"/>
    <w:rsid w:val="05782F05"/>
    <w:rsid w:val="0599432F"/>
    <w:rsid w:val="080C5EBA"/>
    <w:rsid w:val="089352D9"/>
    <w:rsid w:val="0CA57C61"/>
    <w:rsid w:val="0D7A0BC5"/>
    <w:rsid w:val="100A6CBF"/>
    <w:rsid w:val="10390BE8"/>
    <w:rsid w:val="10815624"/>
    <w:rsid w:val="12A942A3"/>
    <w:rsid w:val="13091DF5"/>
    <w:rsid w:val="14950E4A"/>
    <w:rsid w:val="160567EB"/>
    <w:rsid w:val="18422604"/>
    <w:rsid w:val="18B03A11"/>
    <w:rsid w:val="19CC03D7"/>
    <w:rsid w:val="205E44F2"/>
    <w:rsid w:val="22092CF4"/>
    <w:rsid w:val="2329689A"/>
    <w:rsid w:val="23B13BEB"/>
    <w:rsid w:val="241C3618"/>
    <w:rsid w:val="25176E83"/>
    <w:rsid w:val="25493224"/>
    <w:rsid w:val="260505C6"/>
    <w:rsid w:val="26D60AE7"/>
    <w:rsid w:val="2AC26AE7"/>
    <w:rsid w:val="2B4B39F3"/>
    <w:rsid w:val="2B4E5091"/>
    <w:rsid w:val="2C7834A5"/>
    <w:rsid w:val="2E3577D4"/>
    <w:rsid w:val="30391668"/>
    <w:rsid w:val="308952B0"/>
    <w:rsid w:val="313C5C59"/>
    <w:rsid w:val="31EA18EB"/>
    <w:rsid w:val="3215080B"/>
    <w:rsid w:val="35C07F4D"/>
    <w:rsid w:val="35D51F6F"/>
    <w:rsid w:val="36C14B60"/>
    <w:rsid w:val="38F14A27"/>
    <w:rsid w:val="393026DD"/>
    <w:rsid w:val="3ABD00BF"/>
    <w:rsid w:val="3C306A4A"/>
    <w:rsid w:val="3CE85FA0"/>
    <w:rsid w:val="3D10723D"/>
    <w:rsid w:val="3D59721B"/>
    <w:rsid w:val="3D98669F"/>
    <w:rsid w:val="47654CEB"/>
    <w:rsid w:val="47E80223"/>
    <w:rsid w:val="48A72109"/>
    <w:rsid w:val="48F72C24"/>
    <w:rsid w:val="4AB34B18"/>
    <w:rsid w:val="4B4A2142"/>
    <w:rsid w:val="4BC10C51"/>
    <w:rsid w:val="4C6E73F8"/>
    <w:rsid w:val="4D046C30"/>
    <w:rsid w:val="4DF54E75"/>
    <w:rsid w:val="4FA64C4B"/>
    <w:rsid w:val="4FEA11CB"/>
    <w:rsid w:val="553E1F3F"/>
    <w:rsid w:val="55FD5C7F"/>
    <w:rsid w:val="567D789B"/>
    <w:rsid w:val="56CC38D1"/>
    <w:rsid w:val="571B2D00"/>
    <w:rsid w:val="571B434B"/>
    <w:rsid w:val="5845048E"/>
    <w:rsid w:val="5A1D4D13"/>
    <w:rsid w:val="5A7A6148"/>
    <w:rsid w:val="5DD40920"/>
    <w:rsid w:val="5DEF4027"/>
    <w:rsid w:val="63C2012D"/>
    <w:rsid w:val="63CD15D5"/>
    <w:rsid w:val="65AB6DCA"/>
    <w:rsid w:val="68144385"/>
    <w:rsid w:val="6AF932A9"/>
    <w:rsid w:val="70D03CAF"/>
    <w:rsid w:val="735E1215"/>
    <w:rsid w:val="787B0173"/>
    <w:rsid w:val="7B5514A5"/>
    <w:rsid w:val="7BB425FA"/>
    <w:rsid w:val="7E3B7283"/>
    <w:rsid w:val="7EDE749A"/>
    <w:rsid w:val="7F72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spacing w:line="660" w:lineRule="exact"/>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Lines="0" w:beforeAutospacing="0" w:afterLines="0" w:afterAutospacing="0" w:line="520" w:lineRule="exact"/>
      <w:jc w:val="center"/>
      <w:outlineLvl w:val="0"/>
    </w:pPr>
    <w:rPr>
      <w:rFonts w:eastAsia="宋体"/>
      <w:b/>
      <w:kern w:val="44"/>
      <w:sz w:val="44"/>
    </w:rPr>
  </w:style>
  <w:style w:type="paragraph" w:styleId="3">
    <w:name w:val="heading 2"/>
    <w:basedOn w:val="1"/>
    <w:next w:val="1"/>
    <w:link w:val="11"/>
    <w:semiHidden/>
    <w:unhideWhenUsed/>
    <w:qFormat/>
    <w:uiPriority w:val="0"/>
    <w:pPr>
      <w:spacing w:before="50" w:beforeLines="50" w:beforeAutospacing="0" w:after="50" w:afterLines="50" w:afterAutospacing="0"/>
      <w:ind w:firstLine="0" w:firstLineChars="0"/>
      <w:jc w:val="left"/>
      <w:outlineLvl w:val="1"/>
    </w:pPr>
    <w:rPr>
      <w:rFonts w:hint="eastAsia" w:ascii="宋体" w:hAnsi="宋体" w:eastAsia="黑体" w:cs="宋体"/>
      <w:b/>
      <w:kern w:val="0"/>
      <w:szCs w:val="36"/>
      <w:lang w:bidi="ar"/>
    </w:rPr>
  </w:style>
  <w:style w:type="paragraph" w:styleId="4">
    <w:name w:val="heading 3"/>
    <w:basedOn w:val="1"/>
    <w:next w:val="1"/>
    <w:link w:val="13"/>
    <w:semiHidden/>
    <w:unhideWhenUsed/>
    <w:qFormat/>
    <w:uiPriority w:val="0"/>
    <w:pPr>
      <w:keepNext/>
      <w:keepLines/>
      <w:spacing w:beforeLines="0" w:beforeAutospacing="0" w:afterLines="0" w:afterAutospacing="0" w:line="520" w:lineRule="exact"/>
      <w:outlineLvl w:val="2"/>
    </w:pPr>
    <w:rPr>
      <w:rFonts w:eastAsia="楷体"/>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footer"/>
    <w:basedOn w:val="1"/>
    <w:unhideWhenUsed/>
    <w:qFormat/>
    <w:uiPriority w:val="99"/>
    <w:pPr>
      <w:tabs>
        <w:tab w:val="center" w:pos="4153"/>
        <w:tab w:val="right" w:pos="8306"/>
      </w:tabs>
      <w:snapToGrid w:val="0"/>
      <w:spacing w:line="240" w:lineRule="auto"/>
      <w:ind w:firstLine="0" w:firstLineChars="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spacing w:line="240" w:lineRule="auto"/>
      <w:ind w:firstLine="0" w:firstLineChars="0"/>
      <w:jc w:val="center"/>
    </w:pPr>
    <w:rPr>
      <w:sz w:val="18"/>
      <w:szCs w:val="18"/>
    </w:rPr>
  </w:style>
  <w:style w:type="character" w:customStyle="1" w:styleId="10">
    <w:name w:val="标题 1 Char"/>
    <w:link w:val="2"/>
    <w:qFormat/>
    <w:uiPriority w:val="0"/>
    <w:rPr>
      <w:rFonts w:eastAsia="宋体"/>
      <w:b/>
      <w:kern w:val="44"/>
      <w:sz w:val="44"/>
    </w:rPr>
  </w:style>
  <w:style w:type="character" w:customStyle="1" w:styleId="11">
    <w:name w:val="标题 2 Char"/>
    <w:link w:val="3"/>
    <w:qFormat/>
    <w:uiPriority w:val="0"/>
    <w:rPr>
      <w:rFonts w:hint="eastAsia" w:ascii="宋体" w:hAnsi="宋体" w:eastAsia="黑体" w:cs="宋体"/>
      <w:b/>
      <w:kern w:val="0"/>
      <w:sz w:val="32"/>
      <w:szCs w:val="36"/>
      <w:lang w:val="en-US" w:eastAsia="zh-CN" w:bidi="ar"/>
    </w:rPr>
  </w:style>
  <w:style w:type="character" w:customStyle="1" w:styleId="12">
    <w:name w:val="NormalCharacter"/>
    <w:link w:val="1"/>
    <w:qFormat/>
    <w:uiPriority w:val="0"/>
    <w:rPr>
      <w:rFonts w:ascii="Times New Roman" w:hAnsi="Times New Roman" w:eastAsia="仿宋_GB2312" w:cs="Arial"/>
      <w:kern w:val="2"/>
      <w:sz w:val="32"/>
      <w:szCs w:val="24"/>
      <w:lang w:val="en-US" w:eastAsia="zh-CN" w:bidi="ar-SA"/>
    </w:rPr>
  </w:style>
  <w:style w:type="character" w:customStyle="1" w:styleId="13">
    <w:name w:val="标题 3 Char"/>
    <w:link w:val="4"/>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2263</Words>
  <Characters>2347</Characters>
  <Lines>0</Lines>
  <Paragraphs>0</Paragraphs>
  <TotalTime>233</TotalTime>
  <ScaleCrop>false</ScaleCrop>
  <LinksUpToDate>false</LinksUpToDate>
  <CharactersWithSpaces>2351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2022-01-26T06:59:00Z</dcterms:created>
  <dc:creator>空空</dc:creator>
  <cp:lastModifiedBy>向鈤葵@微笑</cp:lastModifiedBy>
  <cp:lastPrinted>2023-08-03T07:34:00Z</cp:lastPrinted>
  <dcterms:modified xsi:type="dcterms:W3CDTF">2023-08-08T02:39:43Z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9F4BD7CC283F431E8551B3E03EEC1A1C</vt:lpwstr>
  </property>
</Properties>
</file>