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outlineLvl w:val="0"/>
        <w:rPr>
          <w:rFonts w:hint="eastAsia" w:ascii="黑体" w:hAnsi="ˎ̥" w:eastAsia="黑体"/>
          <w:sz w:val="44"/>
          <w:szCs w:val="44"/>
        </w:rPr>
      </w:pPr>
    </w:p>
    <w:p>
      <w:pPr>
        <w:spacing w:line="220" w:lineRule="atLeast"/>
        <w:jc w:val="center"/>
        <w:outlineLvl w:val="0"/>
        <w:rPr>
          <w:rFonts w:ascii="黑体" w:hAnsi="黑体" w:eastAsia="黑体"/>
          <w:sz w:val="44"/>
          <w:szCs w:val="44"/>
        </w:rPr>
      </w:pPr>
      <w:bookmarkStart w:id="0" w:name="_Toc54972176"/>
      <w:r>
        <w:rPr>
          <w:rFonts w:hint="eastAsia" w:ascii="黑体" w:hAnsi="ˎ̥" w:eastAsia="黑体"/>
          <w:sz w:val="44"/>
          <w:szCs w:val="44"/>
        </w:rPr>
        <w:t>海口市美兰区水务局2019年度部门决算</w:t>
      </w:r>
      <w:bookmarkEnd w:id="0"/>
    </w:p>
    <w:p>
      <w:pPr>
        <w:spacing w:line="360" w:lineRule="auto"/>
        <w:ind w:firstLine="643" w:firstLineChars="200"/>
        <w:rPr>
          <w:rFonts w:ascii="黑体" w:hAnsi="黑体" w:eastAsia="黑体"/>
          <w:b/>
          <w:sz w:val="32"/>
          <w:szCs w:val="32"/>
        </w:rPr>
      </w:pPr>
    </w:p>
    <w:p>
      <w:pPr>
        <w:jc w:val="center"/>
        <w:rPr>
          <w:rFonts w:ascii="黑体" w:hAnsi="黑体" w:eastAsia="黑体" w:cs="黑体"/>
          <w:sz w:val="44"/>
          <w:szCs w:val="44"/>
        </w:rPr>
      </w:pPr>
      <w:r>
        <w:rPr>
          <w:rFonts w:hint="eastAsia" w:ascii="黑体" w:hAnsi="黑体" w:eastAsia="黑体" w:cs="黑体"/>
          <w:sz w:val="44"/>
          <w:szCs w:val="44"/>
        </w:rPr>
        <w:t>目  录</w:t>
      </w:r>
    </w:p>
    <w:p>
      <w:pPr>
        <w:pStyle w:val="14"/>
        <w:tabs>
          <w:tab w:val="right" w:leader="dot" w:pos="8306"/>
        </w:tabs>
        <w:spacing w:line="600" w:lineRule="exact"/>
        <w:ind w:left="0" w:leftChars="0"/>
        <w:rPr>
          <w:rFonts w:hint="eastAsia" w:ascii="黑体" w:hAnsi="ˎ̥" w:eastAsia="黑体"/>
          <w:w w:val="95"/>
          <w:sz w:val="32"/>
          <w:szCs w:val="32"/>
        </w:rPr>
      </w:pPr>
      <w:r>
        <w:fldChar w:fldCharType="begin"/>
      </w:r>
      <w:r>
        <w:instrText xml:space="preserve"> HYPERLINK \l "_Toc20274_WPSOffice_Level2" </w:instrText>
      </w:r>
      <w:r>
        <w:fldChar w:fldCharType="separate"/>
      </w:r>
      <w:r>
        <w:rPr>
          <w:rFonts w:hint="eastAsia" w:ascii="黑体" w:hAnsi="ˎ̥" w:eastAsia="黑体"/>
          <w:w w:val="95"/>
          <w:sz w:val="32"/>
          <w:szCs w:val="32"/>
        </w:rPr>
        <w:t>第一部分 海口市美兰区水务局部门概况</w:t>
      </w:r>
      <w:r>
        <w:rPr>
          <w:rFonts w:hint="eastAsia" w:ascii="黑体" w:hAnsi="ˎ̥" w:eastAsia="黑体"/>
          <w:w w:val="95"/>
          <w:sz w:val="32"/>
          <w:szCs w:val="32"/>
        </w:rPr>
        <w:tab/>
      </w:r>
      <w:r>
        <w:rPr>
          <w:rFonts w:hint="eastAsia" w:ascii="黑体" w:hAnsi="ˎ̥" w:eastAsia="黑体"/>
          <w:w w:val="95"/>
          <w:sz w:val="32"/>
          <w:szCs w:val="32"/>
        </w:rPr>
        <w:t>3</w:t>
      </w:r>
      <w:r>
        <w:rPr>
          <w:rFonts w:hint="eastAsia" w:ascii="黑体" w:hAnsi="ˎ̥" w:eastAsia="黑体"/>
          <w:w w:val="95"/>
          <w:sz w:val="32"/>
          <w:szCs w:val="32"/>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"_Toc20274_WPSOffice_Level2" </w:instrText>
      </w:r>
      <w:r>
        <w:fldChar w:fldCharType="separate"/>
      </w:r>
      <w:r>
        <w:rPr>
          <w:rFonts w:hint="eastAsia" w:ascii="仿宋" w:hAnsi="仿宋" w:eastAsia="仿宋" w:cs="仿宋"/>
          <w:sz w:val="28"/>
          <w:szCs w:val="28"/>
        </w:rPr>
        <w:t>一、部门职责</w:t>
      </w:r>
      <w:r>
        <w:rPr>
          <w:rFonts w:hint="eastAsia" w:ascii="仿宋" w:hAnsi="仿宋" w:eastAsia="仿宋" w:cs="仿宋"/>
          <w:sz w:val="28"/>
          <w:szCs w:val="28"/>
        </w:rPr>
        <w:tab/>
      </w:r>
      <w:r>
        <w:rPr>
          <w:rFonts w:hint="eastAsia" w:ascii="仿宋" w:hAnsi="仿宋" w:eastAsia="仿宋" w:cs="仿宋"/>
          <w:sz w:val="28"/>
          <w:szCs w:val="28"/>
        </w:rPr>
        <w:t>3</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hint="eastAsia" w:ascii="黑体" w:hAnsi="ˎ̥" w:eastAsia="黑体"/>
          <w:sz w:val="28"/>
          <w:szCs w:val="28"/>
        </w:rPr>
      </w:pPr>
      <w:r>
        <w:fldChar w:fldCharType="begin"/>
      </w:r>
      <w:r>
        <w:instrText xml:space="preserve"> HYPERLINK \l "_Toc4833_WPSOffice_Level2" </w:instrText>
      </w:r>
      <w:r>
        <w:fldChar w:fldCharType="separate"/>
      </w:r>
      <w:r>
        <w:rPr>
          <w:rFonts w:hint="eastAsia" w:ascii="仿宋" w:hAnsi="仿宋" w:eastAsia="仿宋" w:cs="仿宋"/>
          <w:sz w:val="28"/>
          <w:szCs w:val="28"/>
        </w:rPr>
        <w:t>二、机构设置</w:t>
      </w:r>
      <w:r>
        <w:rPr>
          <w:rFonts w:hint="eastAsia" w:ascii="仿宋" w:hAnsi="仿宋" w:eastAsia="仿宋" w:cs="仿宋"/>
          <w:sz w:val="28"/>
          <w:szCs w:val="28"/>
        </w:rPr>
        <w:tab/>
      </w:r>
      <w:r>
        <w:rPr>
          <w:rFonts w:hint="eastAsia" w:ascii="仿宋" w:hAnsi="仿宋" w:eastAsia="仿宋" w:cs="仿宋"/>
          <w:sz w:val="28"/>
          <w:szCs w:val="28"/>
        </w:rPr>
        <w:t>3</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hint="eastAsia" w:ascii="黑体" w:hAnsi="ˎ̥" w:eastAsia="黑体"/>
          <w:w w:val="95"/>
          <w:sz w:val="32"/>
          <w:szCs w:val="32"/>
        </w:rPr>
      </w:pPr>
      <w:r>
        <w:fldChar w:fldCharType="begin"/>
      </w:r>
      <w:r>
        <w:instrText xml:space="preserve"> HYPERLINK \l "_Toc11518_WPSOffice_Level2" </w:instrText>
      </w:r>
      <w:r>
        <w:fldChar w:fldCharType="separate"/>
      </w:r>
      <w:r>
        <w:rPr>
          <w:rFonts w:hint="eastAsia" w:ascii="黑体" w:hAnsi="ˎ̥" w:eastAsia="黑体"/>
          <w:w w:val="95"/>
          <w:sz w:val="32"/>
          <w:szCs w:val="32"/>
        </w:rPr>
        <w:t>第二部分 海口市美兰区水务局2019年度部门决算公开表</w:t>
      </w:r>
      <w:r>
        <w:rPr>
          <w:rFonts w:hint="eastAsia" w:ascii="黑体" w:hAnsi="ˎ̥" w:eastAsia="黑体"/>
          <w:w w:val="95"/>
          <w:sz w:val="32"/>
          <w:szCs w:val="32"/>
        </w:rPr>
        <w:tab/>
      </w:r>
      <w:r>
        <w:rPr>
          <w:rFonts w:hint="eastAsia" w:ascii="黑体" w:hAnsi="ˎ̥" w:eastAsia="黑体"/>
          <w:w w:val="95"/>
          <w:sz w:val="32"/>
          <w:szCs w:val="32"/>
        </w:rPr>
        <w:t>4</w:t>
      </w:r>
      <w:r>
        <w:rPr>
          <w:rFonts w:hint="eastAsia" w:ascii="黑体" w:hAnsi="ˎ̥" w:eastAsia="黑体"/>
          <w:w w:val="95"/>
          <w:sz w:val="32"/>
          <w:szCs w:val="32"/>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"_Toc11518_WPSOffice_Level2" </w:instrText>
      </w:r>
      <w:r>
        <w:fldChar w:fldCharType="separate"/>
      </w:r>
      <w:r>
        <w:rPr>
          <w:rFonts w:hint="eastAsia" w:ascii="仿宋" w:hAnsi="仿宋" w:eastAsia="仿宋" w:cs="仿宋"/>
          <w:sz w:val="28"/>
          <w:szCs w:val="28"/>
        </w:rPr>
        <w:t>一、收入支出决算公开表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"_Toc28622_WPSOffice_Level2" </w:instrText>
      </w:r>
      <w:r>
        <w:fldChar w:fldCharType="separate"/>
      </w:r>
      <w:r>
        <w:rPr>
          <w:rFonts w:hint="eastAsia" w:ascii="仿宋" w:hAnsi="仿宋" w:eastAsia="仿宋" w:cs="仿宋"/>
          <w:sz w:val="28"/>
          <w:szCs w:val="28"/>
        </w:rPr>
        <w:t>二、收入决算公开表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"_Toc5489_WPSOffice_Level2" </w:instrText>
      </w:r>
      <w:r>
        <w:fldChar w:fldCharType="separate"/>
      </w:r>
      <w:r>
        <w:rPr>
          <w:rFonts w:hint="eastAsia" w:ascii="仿宋" w:hAnsi="仿宋" w:eastAsia="仿宋" w:cs="仿宋"/>
          <w:sz w:val="28"/>
          <w:szCs w:val="28"/>
        </w:rPr>
        <w:t>三、支出决算公开表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"_Toc23493_WPSOffice_Level2" </w:instrText>
      </w:r>
      <w:r>
        <w:fldChar w:fldCharType="separate"/>
      </w:r>
      <w:r>
        <w:rPr>
          <w:rFonts w:hint="eastAsia" w:ascii="仿宋" w:hAnsi="仿宋" w:eastAsia="仿宋" w:cs="仿宋"/>
          <w:sz w:val="28"/>
          <w:szCs w:val="28"/>
        </w:rPr>
        <w:t>四、 财政拨款收入支出决算公开表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"_Toc7879_WPSOffice_Level2" </w:instrText>
      </w:r>
      <w:r>
        <w:fldChar w:fldCharType="separate"/>
      </w:r>
      <w:r>
        <w:rPr>
          <w:rFonts w:hint="eastAsia" w:ascii="仿宋" w:hAnsi="仿宋" w:eastAsia="仿宋" w:cs="仿宋"/>
          <w:sz w:val="28"/>
          <w:szCs w:val="28"/>
        </w:rPr>
        <w:t>五、一般公共预算财政拨款收入支出决算公开表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"_Toc8373_WPSOffice_Level2" </w:instrText>
      </w:r>
      <w:r>
        <w:fldChar w:fldCharType="separate"/>
      </w:r>
      <w:r>
        <w:rPr>
          <w:rFonts w:hint="eastAsia" w:ascii="仿宋" w:hAnsi="仿宋" w:eastAsia="仿宋" w:cs="仿宋"/>
          <w:sz w:val="28"/>
          <w:szCs w:val="28"/>
        </w:rPr>
        <w:t>六、一般公共预算财政拨款基本支出决算公开表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"_Toc1820_WPSOffice_Level2" </w:instrText>
      </w:r>
      <w:r>
        <w:fldChar w:fldCharType="separate"/>
      </w:r>
      <w:r>
        <w:rPr>
          <w:rFonts w:hint="eastAsia" w:ascii="仿宋" w:hAnsi="仿宋" w:eastAsia="仿宋" w:cs="仿宋"/>
          <w:sz w:val="28"/>
          <w:szCs w:val="28"/>
        </w:rPr>
        <w:t>七、政府性基金预算财政拨款收入支出决算公开表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"_Toc21310_WPSOffice_Level2" </w:instrText>
      </w:r>
      <w:r>
        <w:fldChar w:fldCharType="separate"/>
      </w:r>
      <w:r>
        <w:rPr>
          <w:rFonts w:hint="eastAsia" w:ascii="仿宋" w:hAnsi="仿宋" w:eastAsia="仿宋" w:cs="仿宋"/>
          <w:sz w:val="28"/>
          <w:szCs w:val="28"/>
        </w:rPr>
        <w:t>八、</w:t>
      </w:r>
      <w:r>
        <w:rPr>
          <w:rFonts w:hint="eastAsia" w:ascii="仿宋" w:hAnsi="仿宋" w:eastAsia="仿宋" w:cs="仿宋"/>
          <w:w w:val="95"/>
          <w:sz w:val="28"/>
          <w:szCs w:val="28"/>
        </w:rPr>
        <w:t>一般公共预算财政拨款“三公”经费支出决算公开表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hint="eastAsia" w:ascii="仿宋" w:hAnsi="仿宋" w:eastAsia="仿宋" w:cs="仿宋"/>
          <w:sz w:val="28"/>
          <w:szCs w:val="28"/>
        </w:rPr>
      </w:pPr>
      <w:r>
        <w:fldChar w:fldCharType="begin"/>
      </w:r>
      <w:r>
        <w:instrText xml:space="preserve"> HYPERLINK \l "_Toc21310_WPSOffice_Level2" </w:instrText>
      </w:r>
      <w:r>
        <w:fldChar w:fldCharType="separate"/>
      </w:r>
      <w:r>
        <w:rPr>
          <w:rFonts w:hint="eastAsia" w:ascii="仿宋" w:hAnsi="仿宋" w:eastAsia="仿宋" w:cs="仿宋"/>
          <w:sz w:val="28"/>
          <w:szCs w:val="28"/>
        </w:rPr>
        <w:t>九、</w:t>
      </w:r>
      <w:r>
        <w:rPr>
          <w:rFonts w:hint="eastAsia" w:ascii="仿宋" w:hAnsi="仿宋" w:eastAsia="仿宋" w:cs="仿宋"/>
          <w:w w:val="92"/>
          <w:sz w:val="28"/>
          <w:szCs w:val="28"/>
        </w:rPr>
        <w:t>政府性基金预算财政拨款“三公”经费支出决算公开表</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hint="eastAsia" w:ascii="黑体" w:hAnsi="ˎ̥" w:eastAsia="黑体"/>
          <w:w w:val="95"/>
          <w:sz w:val="32"/>
          <w:szCs w:val="32"/>
        </w:rPr>
      </w:pPr>
      <w:r>
        <w:fldChar w:fldCharType="begin"/>
      </w:r>
      <w:r>
        <w:instrText xml:space="preserve"> HYPERLINK \l "_Toc21737_WPSOffice_Level2" </w:instrText>
      </w:r>
      <w:r>
        <w:fldChar w:fldCharType="separate"/>
      </w:r>
      <w:r>
        <w:rPr>
          <w:rFonts w:hint="eastAsia" w:ascii="黑体" w:hAnsi="ˎ̥" w:eastAsia="黑体"/>
          <w:w w:val="95"/>
          <w:sz w:val="32"/>
          <w:szCs w:val="32"/>
        </w:rPr>
        <w:t>第三部分 海口市美兰区水务局2019年度部门决算情况说明</w:t>
      </w:r>
      <w:r>
        <w:rPr>
          <w:rFonts w:hint="eastAsia" w:ascii="黑体" w:hAnsi="ˎ̥" w:eastAsia="黑体"/>
          <w:w w:val="95"/>
          <w:sz w:val="32"/>
          <w:szCs w:val="32"/>
        </w:rPr>
        <w:tab/>
      </w:r>
      <w:r>
        <w:rPr>
          <w:rFonts w:hint="eastAsia" w:ascii="黑体" w:hAnsi="ˎ̥" w:eastAsia="黑体"/>
          <w:w w:val="95"/>
          <w:sz w:val="32"/>
          <w:szCs w:val="32"/>
        </w:rPr>
        <w:t>5</w:t>
      </w:r>
      <w:r>
        <w:rPr>
          <w:rFonts w:hint="eastAsia" w:ascii="黑体" w:hAnsi="ˎ̥" w:eastAsia="黑体"/>
          <w:w w:val="95"/>
          <w:sz w:val="32"/>
          <w:szCs w:val="32"/>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"_Toc21737_WPSOffice_Level2" </w:instrText>
      </w:r>
      <w:r>
        <w:fldChar w:fldCharType="separate"/>
      </w:r>
      <w:r>
        <w:rPr>
          <w:rFonts w:hint="eastAsia" w:ascii="仿宋" w:hAnsi="仿宋" w:eastAsia="仿宋" w:cs="仿宋"/>
          <w:bCs/>
          <w:sz w:val="28"/>
          <w:szCs w:val="28"/>
        </w:rPr>
        <w:t>一、收入支出决算总体情况说明</w:t>
      </w:r>
      <w:r>
        <w:rPr>
          <w:rFonts w:hint="eastAsia" w:ascii="仿宋" w:hAnsi="仿宋" w:eastAsia="仿宋" w:cs="仿宋"/>
          <w:sz w:val="28"/>
          <w:szCs w:val="28"/>
        </w:rPr>
        <w:tab/>
      </w:r>
      <w:r>
        <w:rPr>
          <w:rFonts w:hint="eastAsia" w:ascii="仿宋" w:hAnsi="仿宋" w:eastAsia="仿宋" w:cs="仿宋"/>
          <w:sz w:val="28"/>
          <w:szCs w:val="28"/>
        </w:rPr>
        <w:t>5</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"_Toc19535_WPSOffice_Level2" </w:instrText>
      </w:r>
      <w:r>
        <w:fldChar w:fldCharType="separate"/>
      </w:r>
      <w:r>
        <w:rPr>
          <w:rFonts w:hint="eastAsia" w:ascii="仿宋" w:hAnsi="仿宋" w:eastAsia="仿宋" w:cs="仿宋"/>
          <w:bCs/>
          <w:sz w:val="28"/>
          <w:szCs w:val="28"/>
        </w:rPr>
        <w:t>二、收入决算情况说明</w:t>
      </w:r>
      <w:r>
        <w:rPr>
          <w:rFonts w:hint="eastAsia" w:ascii="仿宋" w:hAnsi="仿宋" w:eastAsia="仿宋" w:cs="仿宋"/>
          <w:sz w:val="28"/>
          <w:szCs w:val="28"/>
        </w:rPr>
        <w:tab/>
      </w:r>
      <w:r>
        <w:rPr>
          <w:rFonts w:hint="eastAsia" w:ascii="仿宋" w:hAnsi="仿宋" w:eastAsia="仿宋" w:cs="仿宋"/>
          <w:sz w:val="28"/>
          <w:szCs w:val="28"/>
        </w:rPr>
        <w:t>5</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"_Toc19535_WPSOffice_Level2" </w:instrText>
      </w:r>
      <w:r>
        <w:fldChar w:fldCharType="separate"/>
      </w:r>
      <w:r>
        <w:rPr>
          <w:rFonts w:hint="eastAsia" w:ascii="仿宋" w:hAnsi="仿宋" w:eastAsia="仿宋" w:cs="仿宋"/>
          <w:bCs/>
          <w:sz w:val="28"/>
          <w:szCs w:val="28"/>
        </w:rPr>
        <w:t>三、支出决算情况说明</w:t>
      </w:r>
      <w:r>
        <w:rPr>
          <w:rFonts w:hint="eastAsia" w:ascii="仿宋" w:hAnsi="仿宋" w:eastAsia="仿宋" w:cs="仿宋"/>
          <w:sz w:val="28"/>
          <w:szCs w:val="28"/>
        </w:rPr>
        <w:tab/>
      </w:r>
      <w:r>
        <w:rPr>
          <w:rFonts w:hint="eastAsia" w:ascii="仿宋" w:hAnsi="仿宋" w:eastAsia="仿宋" w:cs="仿宋"/>
          <w:sz w:val="28"/>
          <w:szCs w:val="28"/>
        </w:rPr>
        <w:t>6</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"_Toc19535_WPSOffice_Level2" </w:instrText>
      </w:r>
      <w:r>
        <w:fldChar w:fldCharType="separate"/>
      </w:r>
      <w:r>
        <w:rPr>
          <w:rFonts w:hint="eastAsia" w:ascii="仿宋" w:hAnsi="仿宋" w:eastAsia="仿宋" w:cs="仿宋"/>
          <w:bCs/>
          <w:sz w:val="28"/>
          <w:szCs w:val="28"/>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t>6</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"_Toc19535_WPSOffice_Level2" </w:instrText>
      </w:r>
      <w:r>
        <w:fldChar w:fldCharType="separate"/>
      </w:r>
      <w:r>
        <w:rPr>
          <w:rFonts w:hint="eastAsia" w:ascii="仿宋" w:hAnsi="仿宋" w:eastAsia="仿宋" w:cs="仿宋"/>
          <w:bCs/>
          <w:sz w:val="28"/>
          <w:szCs w:val="28"/>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t>6</w:t>
      </w:r>
      <w:r>
        <w:rPr>
          <w:rFonts w:hint="eastAsia" w:ascii="仿宋" w:hAnsi="仿宋" w:eastAsia="仿宋" w:cs="仿宋"/>
          <w:sz w:val="28"/>
          <w:szCs w:val="28"/>
        </w:rPr>
        <w:fldChar w:fldCharType="end"/>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"_Toc19535_WPSOffice_Level2" </w:instrText>
      </w:r>
      <w:r>
        <w:fldChar w:fldCharType="separate"/>
      </w:r>
      <w:r>
        <w:rPr>
          <w:rFonts w:hint="eastAsia" w:ascii="仿宋" w:hAnsi="仿宋" w:eastAsia="仿宋" w:cs="仿宋"/>
          <w:bCs/>
          <w:sz w:val="28"/>
          <w:szCs w:val="28"/>
        </w:rPr>
        <w:t>六、一般公共预算财政拨款基本支出决算情况说明</w:t>
      </w:r>
      <w:r>
        <w:rPr>
          <w:rFonts w:hint="eastAsia" w:ascii="仿宋" w:hAnsi="仿宋" w:eastAsia="仿宋" w:cs="仿宋"/>
          <w:bCs/>
          <w:sz w:val="28"/>
          <w:szCs w:val="28"/>
        </w:rPr>
        <w:fldChar w:fldCharType="end"/>
      </w:r>
      <w:r>
        <w:rPr>
          <w:rFonts w:hint="eastAsia" w:ascii="仿宋" w:hAnsi="仿宋" w:eastAsia="仿宋" w:cs="仿宋"/>
          <w:sz w:val="28"/>
          <w:szCs w:val="28"/>
        </w:rPr>
        <w:tab/>
      </w:r>
      <w:r>
        <w:rPr>
          <w:rFonts w:hint="eastAsia" w:ascii="仿宋" w:hAnsi="仿宋" w:eastAsia="仿宋" w:cs="仿宋"/>
          <w:sz w:val="28"/>
          <w:szCs w:val="28"/>
        </w:rPr>
        <w:t>12</w:t>
      </w:r>
    </w:p>
    <w:p>
      <w:pPr>
        <w:pStyle w:val="14"/>
        <w:tabs>
          <w:tab w:val="right" w:leader="dot" w:pos="8306"/>
        </w:tabs>
        <w:spacing w:line="600" w:lineRule="exact"/>
        <w:ind w:left="0" w:leftChars="0"/>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政府性基金预算财政拨款收入支出决算情况说明</w:t>
      </w:r>
      <w:r>
        <w:rPr>
          <w:rFonts w:hint="eastAsia" w:ascii="仿宋" w:hAnsi="仿宋" w:eastAsia="仿宋" w:cs="仿宋"/>
          <w:sz w:val="28"/>
          <w:szCs w:val="28"/>
        </w:rPr>
        <w:tab/>
      </w:r>
      <w:r>
        <w:rPr>
          <w:rFonts w:hint="eastAsia" w:ascii="仿宋" w:hAnsi="仿宋" w:eastAsia="仿宋" w:cs="仿宋"/>
          <w:sz w:val="28"/>
          <w:szCs w:val="28"/>
        </w:rPr>
        <w:t>13</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_Toc5978_WPSOffice_Level2 </w:instrText>
      </w:r>
      <w:r>
        <w:rPr>
          <w:rFonts w:hint="eastAsia" w:ascii="仿宋" w:hAnsi="仿宋" w:eastAsia="仿宋" w:cs="仿宋"/>
          <w:sz w:val="28"/>
          <w:szCs w:val="28"/>
        </w:rPr>
        <w:fldChar w:fldCharType="separate"/>
      </w:r>
    </w:p>
    <w:p>
      <w:pPr>
        <w:pStyle w:val="14"/>
        <w:tabs>
          <w:tab w:val="right" w:leader="dot" w:pos="8306"/>
        </w:tabs>
        <w:spacing w:line="600" w:lineRule="exact"/>
        <w:ind w:left="0" w:leftChars="0"/>
        <w:rPr>
          <w:rFonts w:ascii="仿宋" w:hAnsi="仿宋" w:eastAsia="仿宋" w:cs="仿宋"/>
          <w:sz w:val="28"/>
          <w:szCs w:val="28"/>
        </w:rPr>
      </w:pPr>
      <w:r>
        <w:rPr>
          <w:rFonts w:hint="eastAsia" w:ascii="仿宋" w:hAnsi="仿宋" w:eastAsia="仿宋" w:cs="仿宋"/>
          <w:sz w:val="28"/>
          <w:szCs w:val="28"/>
        </w:rPr>
        <w:t>八、一般公共预算财政拨款“三公”经费支出决算情况说明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end"/>
      </w:r>
      <w:r>
        <w:rPr>
          <w:rFonts w:hint="eastAsia" w:ascii="仿宋" w:hAnsi="仿宋" w:eastAsia="仿宋" w:cs="仿宋"/>
          <w:sz w:val="28"/>
          <w:szCs w:val="28"/>
        </w:rPr>
        <w:t>14</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_Toc5978_WPSOffice_Level2 </w:instrText>
      </w:r>
      <w:r>
        <w:rPr>
          <w:rFonts w:hint="eastAsia" w:ascii="仿宋" w:hAnsi="仿宋" w:eastAsia="仿宋" w:cs="仿宋"/>
          <w:sz w:val="28"/>
          <w:szCs w:val="28"/>
        </w:rPr>
        <w:fldChar w:fldCharType="separate"/>
      </w:r>
    </w:p>
    <w:p>
      <w:pPr>
        <w:pStyle w:val="14"/>
        <w:tabs>
          <w:tab w:val="right" w:leader="dot" w:pos="8306"/>
        </w:tabs>
        <w:spacing w:line="600" w:lineRule="exact"/>
        <w:ind w:left="0" w:leftChars="0"/>
        <w:rPr>
          <w:rFonts w:ascii="仿宋" w:hAnsi="仿宋" w:eastAsia="仿宋" w:cs="仿宋"/>
          <w:sz w:val="28"/>
          <w:szCs w:val="28"/>
        </w:rPr>
      </w:pPr>
      <w:r>
        <w:rPr>
          <w:rFonts w:hint="eastAsia" w:ascii="仿宋" w:hAnsi="仿宋" w:eastAsia="仿宋" w:cs="仿宋"/>
          <w:sz w:val="28"/>
          <w:szCs w:val="28"/>
        </w:rPr>
        <w:t>九、政府政府性基金预算财政拨款“三公”经费支出决算情况说明</w:t>
      </w:r>
      <w:r>
        <w:rPr>
          <w:rFonts w:hint="eastAsia" w:ascii="仿宋" w:hAnsi="仿宋" w:eastAsia="仿宋" w:cs="仿宋"/>
          <w:sz w:val="28"/>
          <w:szCs w:val="28"/>
        </w:rPr>
        <w:tab/>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6</w:t>
      </w:r>
    </w:p>
    <w:p>
      <w:pPr>
        <w:pStyle w:val="14"/>
        <w:tabs>
          <w:tab w:val="right" w:leader="dot" w:pos="8306"/>
        </w:tabs>
        <w:spacing w:line="600" w:lineRule="exact"/>
        <w:ind w:left="0" w:leftChars="0"/>
        <w:rPr>
          <w:rFonts w:ascii="仿宋" w:hAnsi="仿宋" w:eastAsia="仿宋" w:cs="仿宋"/>
          <w:sz w:val="28"/>
          <w:szCs w:val="28"/>
        </w:rPr>
      </w:pPr>
      <w:r>
        <w:fldChar w:fldCharType="begin"/>
      </w:r>
      <w:r>
        <w:instrText xml:space="preserve"> HYPERLINK \l "_Toc19535_WPSOffice_Level2" </w:instrText>
      </w:r>
      <w:r>
        <w:fldChar w:fldCharType="separate"/>
      </w:r>
      <w:r>
        <w:rPr>
          <w:rFonts w:hint="eastAsia" w:ascii="仿宋" w:hAnsi="仿宋" w:eastAsia="仿宋" w:cs="仿宋"/>
          <w:bCs/>
          <w:sz w:val="28"/>
          <w:szCs w:val="28"/>
        </w:rPr>
        <w:t>十、预算绩效情况说明</w:t>
      </w:r>
      <w:r>
        <w:rPr>
          <w:rFonts w:hint="eastAsia" w:ascii="仿宋" w:hAnsi="仿宋" w:eastAsia="仿宋" w:cs="仿宋"/>
          <w:sz w:val="28"/>
          <w:szCs w:val="28"/>
        </w:rPr>
        <w:tab/>
      </w:r>
      <w:r>
        <w:rPr>
          <w:rFonts w:hint="eastAsia" w:ascii="仿宋" w:hAnsi="仿宋" w:eastAsia="仿宋" w:cs="仿宋"/>
          <w:sz w:val="28"/>
          <w:szCs w:val="28"/>
        </w:rPr>
        <w:fldChar w:fldCharType="end"/>
      </w:r>
      <w:r>
        <w:rPr>
          <w:rFonts w:hint="eastAsia" w:ascii="仿宋" w:hAnsi="仿宋" w:eastAsia="仿宋" w:cs="仿宋"/>
          <w:sz w:val="28"/>
          <w:szCs w:val="28"/>
        </w:rPr>
        <w:t>16</w:t>
      </w:r>
    </w:p>
    <w:p>
      <w:pPr>
        <w:pStyle w:val="14"/>
        <w:tabs>
          <w:tab w:val="right" w:leader="dot" w:pos="8306"/>
        </w:tabs>
        <w:spacing w:line="600" w:lineRule="exact"/>
        <w:ind w:left="0" w:leftChars="0"/>
        <w:rPr>
          <w:rFonts w:hint="eastAsia" w:ascii="黑体" w:hAnsi="ˎ̥" w:eastAsia="黑体"/>
          <w:w w:val="91"/>
          <w:sz w:val="28"/>
          <w:szCs w:val="28"/>
        </w:rPr>
      </w:pPr>
      <w:r>
        <w:fldChar w:fldCharType="begin"/>
      </w:r>
      <w:r>
        <w:instrText xml:space="preserve"> HYPERLINK \l "_Toc19535_WPSOffice_Level2" </w:instrText>
      </w:r>
      <w:r>
        <w:fldChar w:fldCharType="separate"/>
      </w:r>
      <w:r>
        <w:rPr>
          <w:rFonts w:hint="eastAsia" w:ascii="仿宋" w:hAnsi="仿宋" w:eastAsia="仿宋" w:cs="仿宋"/>
          <w:bCs/>
          <w:sz w:val="28"/>
          <w:szCs w:val="28"/>
        </w:rPr>
        <w:t>十一、其他重要事项情况说明</w:t>
      </w:r>
      <w:r>
        <w:rPr>
          <w:rFonts w:hint="eastAsia" w:ascii="仿宋" w:hAnsi="仿宋" w:eastAsia="仿宋" w:cs="仿宋"/>
          <w:sz w:val="28"/>
          <w:szCs w:val="28"/>
        </w:rPr>
        <w:tab/>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7</w:t>
      </w:r>
    </w:p>
    <w:p>
      <w:pPr>
        <w:pStyle w:val="14"/>
        <w:tabs>
          <w:tab w:val="right" w:leader="dot" w:pos="8306"/>
        </w:tabs>
        <w:spacing w:line="600" w:lineRule="exact"/>
        <w:ind w:left="0" w:leftChars="0"/>
        <w:rPr>
          <w:rFonts w:hint="eastAsia" w:ascii="黑体" w:hAnsi="ˎ̥" w:eastAsia="黑体"/>
          <w:w w:val="95"/>
          <w:sz w:val="32"/>
          <w:szCs w:val="32"/>
        </w:rPr>
      </w:pPr>
      <w:r>
        <w:rPr>
          <w:rFonts w:hint="eastAsia" w:ascii="黑体" w:hAnsi="ˎ̥" w:eastAsia="黑体"/>
          <w:w w:val="95"/>
          <w:sz w:val="32"/>
          <w:szCs w:val="32"/>
        </w:rPr>
        <w:t>第四部分 名词解释</w:t>
      </w:r>
      <w:r>
        <w:fldChar w:fldCharType="begin"/>
      </w:r>
      <w:r>
        <w:instrText xml:space="preserve"> HYPERLINK \l "_Toc19535_WPSOffice_Level2" </w:instrText>
      </w:r>
      <w:r>
        <w:fldChar w:fldCharType="separate"/>
      </w:r>
      <w:r>
        <w:rPr>
          <w:rFonts w:hint="eastAsia" w:ascii="黑体" w:hAnsi="ˎ̥" w:eastAsia="黑体"/>
          <w:w w:val="95"/>
          <w:sz w:val="32"/>
          <w:szCs w:val="32"/>
        </w:rPr>
        <w:tab/>
      </w:r>
      <w:r>
        <w:rPr>
          <w:rFonts w:hint="eastAsia" w:ascii="黑体" w:hAnsi="ˎ̥" w:eastAsia="黑体"/>
          <w:w w:val="95"/>
          <w:sz w:val="32"/>
          <w:szCs w:val="32"/>
        </w:rPr>
        <w:t>18</w:t>
      </w:r>
      <w:r>
        <w:rPr>
          <w:rFonts w:hint="eastAsia" w:ascii="黑体" w:hAnsi="ˎ̥" w:eastAsia="黑体"/>
          <w:w w:val="95"/>
          <w:sz w:val="32"/>
          <w:szCs w:val="32"/>
        </w:rPr>
        <w:fldChar w:fldCharType="end"/>
      </w:r>
    </w:p>
    <w:p>
      <w:pPr>
        <w:spacing w:before="100" w:beforeAutospacing="1" w:after="100" w:afterAutospacing="1" w:line="360" w:lineRule="auto"/>
        <w:ind w:firstLine="643" w:firstLineChars="200"/>
        <w:rPr>
          <w:rFonts w:ascii="黑体" w:hAnsi="黑体" w:eastAsia="黑体"/>
          <w:b/>
          <w:sz w:val="32"/>
          <w:szCs w:val="32"/>
        </w:rPr>
      </w:pPr>
    </w:p>
    <w:p>
      <w:pPr>
        <w:spacing w:before="100" w:beforeAutospacing="1" w:after="100" w:afterAutospacing="1" w:line="360" w:lineRule="auto"/>
        <w:ind w:firstLine="643" w:firstLineChars="200"/>
        <w:rPr>
          <w:rFonts w:ascii="黑体" w:hAnsi="黑体" w:eastAsia="黑体"/>
          <w:b/>
          <w:sz w:val="32"/>
          <w:szCs w:val="32"/>
        </w:rPr>
      </w:pPr>
    </w:p>
    <w:p>
      <w:pPr>
        <w:spacing w:before="100" w:beforeAutospacing="1" w:after="100" w:afterAutospacing="1" w:line="360" w:lineRule="auto"/>
        <w:ind w:firstLine="643" w:firstLineChars="200"/>
        <w:rPr>
          <w:rFonts w:ascii="黑体" w:hAnsi="黑体" w:eastAsia="黑体"/>
          <w:b/>
          <w:sz w:val="32"/>
          <w:szCs w:val="32"/>
        </w:rPr>
      </w:pPr>
    </w:p>
    <w:p>
      <w:pPr>
        <w:spacing w:before="100" w:beforeAutospacing="1" w:after="100" w:afterAutospacing="1" w:line="360" w:lineRule="auto"/>
        <w:ind w:firstLine="643" w:firstLineChars="200"/>
        <w:rPr>
          <w:rFonts w:ascii="黑体" w:hAnsi="黑体" w:eastAsia="黑体"/>
          <w:b/>
          <w:sz w:val="32"/>
          <w:szCs w:val="32"/>
        </w:rPr>
      </w:pPr>
    </w:p>
    <w:p>
      <w:pPr>
        <w:spacing w:before="100" w:beforeAutospacing="1" w:after="100" w:afterAutospacing="1" w:line="360" w:lineRule="auto"/>
        <w:ind w:firstLine="643" w:firstLineChars="200"/>
        <w:rPr>
          <w:rFonts w:ascii="黑体" w:hAnsi="黑体" w:eastAsia="黑体"/>
          <w:b/>
          <w:sz w:val="32"/>
          <w:szCs w:val="32"/>
        </w:rPr>
      </w:pPr>
    </w:p>
    <w:p>
      <w:pPr>
        <w:spacing w:before="100" w:beforeAutospacing="1" w:after="100" w:afterAutospacing="1" w:line="360" w:lineRule="auto"/>
        <w:ind w:firstLine="643" w:firstLineChars="200"/>
        <w:rPr>
          <w:rFonts w:hint="eastAsia" w:ascii="黑体" w:hAnsi="黑体" w:eastAsia="黑体"/>
          <w:b/>
          <w:sz w:val="32"/>
          <w:szCs w:val="32"/>
        </w:rPr>
      </w:pPr>
    </w:p>
    <w:p>
      <w:pPr>
        <w:spacing w:before="100" w:beforeAutospacing="1" w:after="100" w:afterAutospacing="1" w:line="360" w:lineRule="auto"/>
        <w:ind w:firstLine="643" w:firstLineChars="200"/>
        <w:rPr>
          <w:rFonts w:hint="eastAsia" w:ascii="黑体" w:hAnsi="黑体" w:eastAsia="黑体"/>
          <w:b/>
          <w:sz w:val="32"/>
          <w:szCs w:val="32"/>
        </w:rPr>
      </w:pPr>
    </w:p>
    <w:p>
      <w:pPr>
        <w:spacing w:before="100" w:beforeAutospacing="1" w:after="100" w:afterAutospacing="1" w:line="360" w:lineRule="auto"/>
        <w:ind w:firstLine="643" w:firstLineChars="200"/>
        <w:rPr>
          <w:rFonts w:hint="eastAsia" w:ascii="黑体" w:hAnsi="黑体" w:eastAsia="黑体"/>
          <w:b/>
          <w:sz w:val="32"/>
          <w:szCs w:val="32"/>
        </w:rPr>
      </w:pPr>
    </w:p>
    <w:p>
      <w:pPr>
        <w:spacing w:before="100" w:beforeAutospacing="1" w:after="100" w:afterAutospacing="1" w:line="360" w:lineRule="auto"/>
        <w:ind w:firstLine="643" w:firstLineChars="200"/>
        <w:rPr>
          <w:rFonts w:ascii="黑体" w:hAnsi="黑体" w:eastAsia="黑体"/>
          <w:b/>
          <w:sz w:val="32"/>
          <w:szCs w:val="32"/>
        </w:rPr>
      </w:pPr>
    </w:p>
    <w:p>
      <w:pPr>
        <w:spacing w:before="100" w:beforeAutospacing="1" w:after="100" w:afterAutospacing="1" w:line="360" w:lineRule="auto"/>
        <w:rPr>
          <w:rFonts w:ascii="黑体" w:hAnsi="黑体" w:eastAsia="黑体"/>
          <w:b/>
          <w:sz w:val="32"/>
          <w:szCs w:val="32"/>
        </w:rPr>
      </w:pPr>
    </w:p>
    <w:p>
      <w:pPr>
        <w:numPr>
          <w:ilvl w:val="0"/>
          <w:numId w:val="1"/>
        </w:numPr>
        <w:spacing w:before="100" w:beforeAutospacing="1" w:after="100" w:afterAutospacing="1" w:line="360" w:lineRule="auto"/>
        <w:ind w:firstLine="640" w:firstLineChars="200"/>
        <w:jc w:val="center"/>
        <w:rPr>
          <w:rFonts w:hint="eastAsia" w:ascii="黑体" w:hAnsi="ˎ̥" w:eastAsia="黑体"/>
          <w:sz w:val="32"/>
          <w:szCs w:val="32"/>
        </w:rPr>
      </w:pPr>
      <w:bookmarkStart w:id="1" w:name="_Toc1704_WPSOffice_Level1"/>
      <w:bookmarkStart w:id="2" w:name="_Toc10720_WPSOffice_Level1"/>
      <w:bookmarkStart w:id="3" w:name="_Toc32433_WPSOffice_Level1"/>
      <w:bookmarkStart w:id="4" w:name="_Toc22941_WPSOffice_Level1"/>
      <w:bookmarkStart w:id="5" w:name="_Toc23465_WPSOffice_Level1"/>
      <w:bookmarkStart w:id="6" w:name="_Toc10049_WPSOffice_Level1"/>
      <w:r>
        <w:rPr>
          <w:rFonts w:hint="eastAsia" w:ascii="黑体" w:hAnsi="ˎ̥" w:eastAsia="黑体"/>
          <w:sz w:val="32"/>
          <w:szCs w:val="32"/>
        </w:rPr>
        <w:t>海口市美兰区水务局部门概况</w:t>
      </w:r>
      <w:bookmarkEnd w:id="1"/>
      <w:bookmarkEnd w:id="2"/>
      <w:bookmarkEnd w:id="3"/>
      <w:bookmarkEnd w:id="4"/>
      <w:bookmarkEnd w:id="5"/>
      <w:bookmarkEnd w:id="6"/>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一、部门职责</w:t>
      </w:r>
    </w:p>
    <w:p>
      <w:pPr>
        <w:spacing w:line="360" w:lineRule="auto"/>
        <w:ind w:firstLine="640" w:firstLineChars="200"/>
        <w:rPr>
          <w:rFonts w:ascii="仿宋" w:hAnsi="仿宋" w:eastAsia="仿宋" w:cs="仿宋"/>
          <w:kern w:val="2"/>
          <w:sz w:val="32"/>
          <w:szCs w:val="32"/>
        </w:rPr>
      </w:pPr>
      <w:r>
        <w:rPr>
          <w:rFonts w:hint="eastAsia" w:ascii="仿宋_GB2312" w:hAnsi="ˎ̥" w:eastAsia="仿宋_GB2312"/>
          <w:sz w:val="32"/>
          <w:szCs w:val="32"/>
        </w:rPr>
        <w:t>海口市美兰区水务局成立于2003年1月，是主管全区水务工作的区政府职能部门，主要负责贯彻执行国家、省、市有关水行政工作的方针政策、法律、法规和规章，拟定地方性法规、规章、政策和水行政执法，担负全区水资源统一规划、配置、节约、保护和管理，乡镇供水、排水、污水处理，水务工程建设与管理、防汛、防风、防旱、农田水利基本建设、水务科技、水土保持及河道治理等任务</w:t>
      </w:r>
      <w:r>
        <w:rPr>
          <w:rFonts w:hint="eastAsia" w:ascii="仿宋" w:hAnsi="仿宋" w:eastAsia="仿宋" w:cs="仿宋"/>
          <w:kern w:val="2"/>
          <w:sz w:val="32"/>
          <w:szCs w:val="32"/>
        </w:rPr>
        <w:t>。</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二、机构设置</w:t>
      </w:r>
    </w:p>
    <w:p>
      <w:pPr>
        <w:spacing w:line="360" w:lineRule="auto"/>
        <w:ind w:firstLine="640" w:firstLineChars="200"/>
        <w:rPr>
          <w:rFonts w:hint="eastAsia" w:ascii="仿宋_GB2312" w:hAnsi="ˎ̥" w:eastAsia="仿宋_GB2312"/>
          <w:sz w:val="32"/>
          <w:szCs w:val="32"/>
        </w:rPr>
      </w:pPr>
      <w:r>
        <w:rPr>
          <w:rFonts w:hint="eastAsia" w:ascii="仿宋" w:hAnsi="仿宋" w:eastAsia="仿宋" w:cs="仿宋"/>
          <w:kern w:val="2"/>
          <w:sz w:val="32"/>
          <w:szCs w:val="32"/>
        </w:rPr>
        <w:t>纳入海口市美兰区水务局2019年度部门决算编制范围的二级预算单位包括：</w:t>
      </w:r>
    </w:p>
    <w:p>
      <w:pPr>
        <w:spacing w:line="360" w:lineRule="auto"/>
        <w:ind w:firstLine="640" w:firstLineChars="200"/>
        <w:rPr>
          <w:rFonts w:ascii="楷体" w:hAnsi="楷体" w:eastAsia="楷体" w:cs="楷体"/>
          <w:sz w:val="32"/>
          <w:szCs w:val="32"/>
        </w:rPr>
      </w:pPr>
      <w:bookmarkStart w:id="7" w:name="_Toc25738_WPSOffice_Level2"/>
      <w:bookmarkStart w:id="8" w:name="_Toc24421_WPSOffice_Level2"/>
      <w:r>
        <w:rPr>
          <w:rFonts w:hint="eastAsia" w:ascii="楷体" w:hAnsi="楷体" w:eastAsia="楷体" w:cs="楷体"/>
          <w:sz w:val="32"/>
          <w:szCs w:val="32"/>
        </w:rPr>
        <w:t>（一）海口市美兰区水务局本级</w:t>
      </w:r>
      <w:bookmarkEnd w:id="7"/>
      <w:bookmarkEnd w:id="8"/>
    </w:p>
    <w:p>
      <w:pPr>
        <w:spacing w:line="360" w:lineRule="auto"/>
        <w:ind w:firstLine="640" w:firstLineChars="200"/>
        <w:rPr>
          <w:rFonts w:ascii="楷体" w:hAnsi="楷体" w:eastAsia="楷体" w:cs="楷体"/>
          <w:sz w:val="32"/>
          <w:szCs w:val="32"/>
        </w:rPr>
      </w:pPr>
      <w:bookmarkStart w:id="9" w:name="_Toc19721_WPSOffice_Level2"/>
      <w:bookmarkStart w:id="10" w:name="_Toc4442_WPSOffice_Level2"/>
      <w:r>
        <w:rPr>
          <w:rFonts w:hint="eastAsia" w:ascii="楷体" w:hAnsi="楷体" w:eastAsia="楷体" w:cs="楷体"/>
          <w:sz w:val="32"/>
          <w:szCs w:val="32"/>
        </w:rPr>
        <w:t>（二）</w:t>
      </w:r>
      <w:bookmarkEnd w:id="9"/>
      <w:bookmarkEnd w:id="10"/>
      <w:r>
        <w:rPr>
          <w:rFonts w:hint="eastAsia" w:ascii="楷体" w:hAnsi="楷体" w:eastAsia="楷体" w:cs="楷体"/>
          <w:sz w:val="32"/>
          <w:szCs w:val="32"/>
        </w:rPr>
        <w:t>海口市美兰区防汛防风防旱指挥部办公室</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（三）海口市美兰区凤潭水库工程管理处</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（四）海口市美兰区丁荣水库工程管理处</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（五）海口市美兰区河长制办公室</w:t>
      </w:r>
    </w:p>
    <w:p>
      <w:pPr>
        <w:spacing w:line="360" w:lineRule="auto"/>
        <w:ind w:firstLine="640" w:firstLineChars="200"/>
        <w:rPr>
          <w:rFonts w:hint="eastAsia" w:ascii="黑体" w:hAnsi="ˎ̥" w:eastAsia="黑体"/>
          <w:sz w:val="32"/>
          <w:szCs w:val="32"/>
        </w:rPr>
      </w:pPr>
      <w:r>
        <w:rPr>
          <w:rFonts w:hint="eastAsia" w:ascii="楷体" w:hAnsi="楷体" w:eastAsia="楷体" w:cs="楷体"/>
          <w:sz w:val="32"/>
          <w:szCs w:val="32"/>
        </w:rPr>
        <w:t>（六）海口市美兰区水政监察大队</w:t>
      </w:r>
    </w:p>
    <w:p>
      <w:pPr>
        <w:spacing w:line="360" w:lineRule="auto"/>
        <w:jc w:val="center"/>
        <w:rPr>
          <w:rFonts w:hint="eastAsia" w:ascii="黑体" w:hAnsi="ˎ̥" w:eastAsia="黑体"/>
          <w:sz w:val="32"/>
          <w:szCs w:val="32"/>
        </w:rPr>
      </w:pPr>
      <w:bookmarkStart w:id="11" w:name="_Toc30690_WPSOffice_Level1"/>
      <w:bookmarkStart w:id="12" w:name="_Toc15521_WPSOffice_Level1"/>
      <w:bookmarkStart w:id="13" w:name="_Toc28253_WPSOffice_Level1"/>
      <w:bookmarkStart w:id="14" w:name="_Toc6234_WPSOffice_Level1"/>
      <w:bookmarkStart w:id="15" w:name="_Toc8164_WPSOffice_Level1"/>
      <w:bookmarkStart w:id="16" w:name="_Toc30451_WPSOffice_Level1"/>
      <w:r>
        <w:rPr>
          <w:rFonts w:hint="eastAsia" w:ascii="黑体" w:hAnsi="ˎ̥" w:eastAsia="黑体"/>
          <w:sz w:val="32"/>
          <w:szCs w:val="32"/>
        </w:rPr>
        <w:t>第二部分  海口市美兰区水务局2019年度部门决算公开报表</w:t>
      </w:r>
      <w:bookmarkEnd w:id="11"/>
      <w:bookmarkEnd w:id="12"/>
      <w:bookmarkEnd w:id="13"/>
      <w:bookmarkEnd w:id="14"/>
      <w:bookmarkEnd w:id="15"/>
      <w:bookmarkEnd w:id="16"/>
    </w:p>
    <w:p>
      <w:pPr>
        <w:spacing w:line="360" w:lineRule="auto"/>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p>
    <w:p>
      <w:pPr>
        <w:spacing w:line="360" w:lineRule="auto"/>
        <w:ind w:firstLine="645"/>
        <w:rPr>
          <w:rFonts w:ascii="黑体" w:hAnsi="黑体" w:eastAsia="黑体" w:cs="黑体"/>
          <w:sz w:val="32"/>
          <w:szCs w:val="32"/>
        </w:rPr>
      </w:pPr>
      <w:bookmarkStart w:id="17" w:name="_Toc25608_WPSOffice_Level2"/>
      <w:bookmarkStart w:id="18" w:name="_Toc26621_WPSOffice_Level2"/>
      <w:bookmarkStart w:id="19" w:name="_Toc23139_WPSOffice_Level2"/>
      <w:bookmarkStart w:id="20" w:name="_Toc28622_WPSOffice_Level2"/>
      <w:bookmarkStart w:id="21" w:name="_Toc30334_WPSOffice_Level2"/>
      <w:bookmarkStart w:id="22" w:name="_Toc14349_WPSOffice_Level2"/>
      <w:r>
        <w:rPr>
          <w:rFonts w:hint="eastAsia" w:ascii="黑体" w:hAnsi="黑体" w:eastAsia="黑体" w:cs="黑体"/>
          <w:sz w:val="32"/>
          <w:szCs w:val="32"/>
        </w:rPr>
        <w:t>二、收入决算公开表（见正文附件）</w:t>
      </w:r>
      <w:bookmarkEnd w:id="17"/>
      <w:bookmarkEnd w:id="18"/>
      <w:bookmarkEnd w:id="19"/>
      <w:r>
        <w:rPr>
          <w:rFonts w:hint="eastAsia" w:ascii="黑体" w:hAnsi="黑体" w:eastAsia="黑体" w:cs="黑体"/>
          <w:sz w:val="32"/>
          <w:szCs w:val="32"/>
        </w:rPr>
        <w:t>。</w:t>
      </w:r>
      <w:bookmarkEnd w:id="20"/>
      <w:bookmarkEnd w:id="21"/>
      <w:bookmarkEnd w:id="22"/>
    </w:p>
    <w:p>
      <w:pPr>
        <w:spacing w:line="360" w:lineRule="auto"/>
        <w:ind w:firstLine="645"/>
        <w:rPr>
          <w:rFonts w:ascii="黑体" w:hAnsi="黑体" w:eastAsia="黑体" w:cs="黑体"/>
          <w:sz w:val="32"/>
          <w:szCs w:val="32"/>
        </w:rPr>
      </w:pPr>
      <w:bookmarkStart w:id="23" w:name="_Toc3262_WPSOffice_Level2"/>
      <w:bookmarkStart w:id="24" w:name="_Toc17858_WPSOffice_Level2"/>
      <w:bookmarkStart w:id="25" w:name="_Toc17626_WPSOffice_Level2"/>
      <w:bookmarkStart w:id="26" w:name="_Toc5489_WPSOffice_Level2"/>
      <w:bookmarkStart w:id="27" w:name="_Toc14658_WPSOffice_Level2"/>
      <w:bookmarkStart w:id="28" w:name="_Toc13854_WPSOffice_Level2"/>
      <w:r>
        <w:rPr>
          <w:rFonts w:hint="eastAsia" w:ascii="黑体" w:hAnsi="黑体" w:eastAsia="黑体" w:cs="黑体"/>
          <w:sz w:val="32"/>
          <w:szCs w:val="32"/>
        </w:rPr>
        <w:t>三、支出决算公开表（见正文附件）</w:t>
      </w:r>
      <w:bookmarkEnd w:id="23"/>
      <w:bookmarkEnd w:id="24"/>
      <w:bookmarkEnd w:id="25"/>
      <w:r>
        <w:rPr>
          <w:rFonts w:hint="eastAsia" w:ascii="黑体" w:hAnsi="黑体" w:eastAsia="黑体" w:cs="黑体"/>
          <w:sz w:val="32"/>
          <w:szCs w:val="32"/>
        </w:rPr>
        <w:t>。</w:t>
      </w:r>
      <w:bookmarkEnd w:id="26"/>
      <w:bookmarkEnd w:id="27"/>
      <w:bookmarkEnd w:id="28"/>
    </w:p>
    <w:p>
      <w:pPr>
        <w:spacing w:line="360" w:lineRule="auto"/>
        <w:ind w:firstLine="645"/>
        <w:rPr>
          <w:rFonts w:ascii="黑体" w:hAnsi="黑体" w:eastAsia="黑体" w:cs="黑体"/>
          <w:sz w:val="32"/>
          <w:szCs w:val="32"/>
        </w:rPr>
      </w:pPr>
      <w:bookmarkStart w:id="29" w:name="_Toc13701_WPSOffice_Level2"/>
      <w:bookmarkStart w:id="30" w:name="_Toc21415_WPSOffice_Level2"/>
      <w:bookmarkStart w:id="31" w:name="_Toc23591_WPSOffice_Level2"/>
      <w:bookmarkStart w:id="32" w:name="_Toc23493_WPSOffice_Level2"/>
      <w:bookmarkStart w:id="33" w:name="_Toc4265_WPSOffice_Level2"/>
      <w:bookmarkStart w:id="34" w:name="_Toc7988_WPSOffice_Level2"/>
      <w:r>
        <w:rPr>
          <w:rFonts w:hint="eastAsia" w:ascii="黑体" w:hAnsi="黑体" w:eastAsia="黑体" w:cs="黑体"/>
          <w:sz w:val="32"/>
          <w:szCs w:val="32"/>
        </w:rPr>
        <w:t>四、财政拨款收入支出决算公开表（见正文附件）</w:t>
      </w:r>
      <w:bookmarkEnd w:id="29"/>
      <w:bookmarkEnd w:id="30"/>
      <w:bookmarkEnd w:id="31"/>
      <w:r>
        <w:rPr>
          <w:rFonts w:hint="eastAsia" w:ascii="黑体" w:hAnsi="黑体" w:eastAsia="黑体" w:cs="黑体"/>
          <w:sz w:val="32"/>
          <w:szCs w:val="32"/>
        </w:rPr>
        <w:t>。</w:t>
      </w:r>
      <w:bookmarkEnd w:id="32"/>
      <w:bookmarkEnd w:id="33"/>
      <w:bookmarkEnd w:id="34"/>
    </w:p>
    <w:p>
      <w:pPr>
        <w:spacing w:line="360" w:lineRule="auto"/>
        <w:ind w:firstLine="645"/>
        <w:rPr>
          <w:rFonts w:ascii="黑体" w:hAnsi="黑体" w:eastAsia="黑体" w:cs="黑体"/>
          <w:sz w:val="32"/>
          <w:szCs w:val="32"/>
        </w:rPr>
      </w:pPr>
      <w:bookmarkStart w:id="35" w:name="_Toc22783_WPSOffice_Level2"/>
      <w:bookmarkStart w:id="36" w:name="_Toc25166_WPSOffice_Level2"/>
      <w:bookmarkStart w:id="37" w:name="_Toc7879_WPSOffice_Level2"/>
      <w:bookmarkStart w:id="38" w:name="_Toc23829_WPSOffice_Level2"/>
      <w:bookmarkStart w:id="39" w:name="_Toc2158_WPSOffice_Level2"/>
      <w:bookmarkStart w:id="40" w:name="_Toc13516_WPSOffice_Level2"/>
      <w:r>
        <w:rPr>
          <w:rFonts w:hint="eastAsia" w:ascii="黑体" w:hAnsi="黑体" w:eastAsia="黑体" w:cs="黑体"/>
          <w:sz w:val="32"/>
          <w:szCs w:val="32"/>
        </w:rPr>
        <w:t>五、一般公共预算财政拨款收入支出决算公开表</w:t>
      </w:r>
      <w:bookmarkEnd w:id="35"/>
      <w:bookmarkEnd w:id="36"/>
      <w:bookmarkEnd w:id="37"/>
      <w:bookmarkEnd w:id="38"/>
    </w:p>
    <w:p>
      <w:pPr>
        <w:spacing w:line="360" w:lineRule="auto"/>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39"/>
      <w:bookmarkEnd w:id="40"/>
      <w:r>
        <w:rPr>
          <w:rFonts w:hint="eastAsia" w:ascii="黑体" w:hAnsi="黑体" w:eastAsia="黑体" w:cs="黑体"/>
          <w:sz w:val="32"/>
          <w:szCs w:val="32"/>
        </w:rPr>
        <w:t>。</w:t>
      </w:r>
    </w:p>
    <w:p>
      <w:pPr>
        <w:spacing w:line="360" w:lineRule="auto"/>
        <w:ind w:firstLine="645"/>
        <w:rPr>
          <w:rFonts w:ascii="黑体" w:hAnsi="黑体" w:eastAsia="黑体" w:cs="黑体"/>
          <w:sz w:val="32"/>
          <w:szCs w:val="32"/>
        </w:rPr>
      </w:pPr>
      <w:bookmarkStart w:id="41" w:name="_Toc8373_WPSOffice_Level2"/>
      <w:bookmarkStart w:id="42" w:name="_Toc25362_WPSOffice_Level2"/>
      <w:bookmarkStart w:id="43" w:name="_Toc5343_WPSOffice_Level2"/>
      <w:bookmarkStart w:id="44" w:name="_Toc2632_WPSOffice_Level2"/>
      <w:bookmarkStart w:id="45" w:name="_Toc17283_WPSOffice_Level2"/>
      <w:bookmarkStart w:id="46" w:name="_Toc17833_WPSOffice_Level2"/>
      <w:r>
        <w:rPr>
          <w:rFonts w:hint="eastAsia" w:ascii="黑体" w:hAnsi="黑体" w:eastAsia="黑体" w:cs="黑体"/>
          <w:sz w:val="32"/>
          <w:szCs w:val="32"/>
        </w:rPr>
        <w:t>六、一般公共预算财政拨款基本支出决算公开表</w:t>
      </w:r>
      <w:bookmarkEnd w:id="41"/>
      <w:bookmarkEnd w:id="42"/>
      <w:bookmarkEnd w:id="43"/>
      <w:bookmarkEnd w:id="44"/>
      <w:bookmarkEnd w:id="45"/>
      <w:bookmarkEnd w:id="46"/>
    </w:p>
    <w:p>
      <w:pPr>
        <w:spacing w:line="360" w:lineRule="auto"/>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spacing w:line="360" w:lineRule="auto"/>
        <w:ind w:left="1149" w:leftChars="304" w:hanging="480" w:hangingChars="150"/>
        <w:rPr>
          <w:rFonts w:ascii="黑体" w:hAnsi="黑体" w:eastAsia="黑体" w:cs="黑体"/>
          <w:sz w:val="32"/>
          <w:szCs w:val="32"/>
        </w:rPr>
      </w:pPr>
      <w:bookmarkStart w:id="47" w:name="_Toc5594_WPSOffice_Level2"/>
      <w:bookmarkStart w:id="48" w:name="_Toc6020_WPSOffice_Level2"/>
      <w:bookmarkStart w:id="49" w:name="_Toc1533_WPSOffice_Level2"/>
      <w:bookmarkStart w:id="50" w:name="_Toc21310_WPSOffice_Level2"/>
      <w:bookmarkStart w:id="51" w:name="_Toc11799_WPSOffice_Level2"/>
      <w:bookmarkStart w:id="52" w:name="_Toc13345_WPSOffice_Level2"/>
      <w:r>
        <w:rPr>
          <w:rFonts w:hint="eastAsia" w:ascii="黑体" w:hAnsi="黑体" w:eastAsia="黑体" w:cs="黑体"/>
          <w:sz w:val="32"/>
          <w:szCs w:val="32"/>
        </w:rPr>
        <w:t>七、政府性基金预算财政拨款收入支出决算公开表</w:t>
      </w:r>
      <w:bookmarkEnd w:id="47"/>
      <w:bookmarkEnd w:id="48"/>
      <w:bookmarkEnd w:id="49"/>
      <w:bookmarkEnd w:id="50"/>
      <w:bookmarkEnd w:id="51"/>
      <w:bookmarkEnd w:id="52"/>
    </w:p>
    <w:p>
      <w:pPr>
        <w:spacing w:line="360" w:lineRule="auto"/>
        <w:ind w:left="1338"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spacing w:line="360" w:lineRule="auto"/>
        <w:rPr>
          <w:rFonts w:ascii="黑体" w:hAnsi="黑体" w:eastAsia="黑体" w:cs="黑体"/>
          <w:sz w:val="32"/>
          <w:szCs w:val="32"/>
        </w:rPr>
      </w:pPr>
      <w:bookmarkStart w:id="53" w:name="_Toc9377_WPSOffice_Level2"/>
      <w:bookmarkStart w:id="54" w:name="_Toc1820_WPSOffice_Level2"/>
      <w:bookmarkStart w:id="55" w:name="_Toc19961_WPSOffice_Level2"/>
      <w:bookmarkStart w:id="56" w:name="_Toc29886_WPSOffice_Level2"/>
      <w:r>
        <w:rPr>
          <w:rFonts w:hint="eastAsia" w:ascii="黑体" w:hAnsi="黑体" w:eastAsia="黑体" w:cs="黑体"/>
          <w:sz w:val="32"/>
          <w:szCs w:val="32"/>
        </w:rPr>
        <w:t xml:space="preserve">    八、一般公共预算财政拨款“三公”经费支出决算</w:t>
      </w:r>
    </w:p>
    <w:p>
      <w:pPr>
        <w:spacing w:line="360" w:lineRule="auto"/>
        <w:rPr>
          <w:rFonts w:ascii="黑体" w:hAnsi="黑体" w:eastAsia="黑体" w:cs="黑体"/>
          <w:sz w:val="32"/>
          <w:szCs w:val="32"/>
        </w:rPr>
      </w:pPr>
      <w:r>
        <w:rPr>
          <w:rFonts w:hint="eastAsia" w:ascii="黑体" w:hAnsi="黑体" w:eastAsia="黑体" w:cs="黑体"/>
          <w:sz w:val="32"/>
          <w:szCs w:val="32"/>
        </w:rPr>
        <w:t xml:space="preserve">          公开表</w:t>
      </w:r>
      <w:bookmarkEnd w:id="53"/>
      <w:bookmarkEnd w:id="54"/>
      <w:bookmarkEnd w:id="55"/>
      <w:bookmarkEnd w:id="56"/>
      <w:r>
        <w:rPr>
          <w:rFonts w:hint="eastAsia" w:ascii="黑体" w:hAnsi="黑体" w:eastAsia="黑体" w:cs="黑体"/>
          <w:sz w:val="32"/>
          <w:szCs w:val="32"/>
        </w:rPr>
        <w:t>（见正文附件）。</w:t>
      </w:r>
    </w:p>
    <w:p>
      <w:pPr>
        <w:spacing w:line="360" w:lineRule="auto"/>
        <w:rPr>
          <w:rFonts w:ascii="黑体" w:hAnsi="黑体" w:eastAsia="黑体" w:cs="黑体"/>
          <w:w w:val="96"/>
          <w:sz w:val="32"/>
          <w:szCs w:val="32"/>
        </w:rPr>
      </w:pPr>
      <w:r>
        <w:rPr>
          <w:rFonts w:hint="eastAsia" w:ascii="黑体" w:hAnsi="黑体" w:eastAsia="黑体" w:cs="黑体"/>
          <w:w w:val="96"/>
          <w:sz w:val="32"/>
          <w:szCs w:val="32"/>
        </w:rPr>
        <w:t xml:space="preserve">    九、政府性基金预算财政拨款“三公”经费支出决算</w:t>
      </w:r>
    </w:p>
    <w:p>
      <w:pPr>
        <w:spacing w:line="360" w:lineRule="auto"/>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spacing w:before="100" w:beforeAutospacing="1" w:after="100" w:afterAutospacing="1" w:line="360" w:lineRule="auto"/>
        <w:jc w:val="center"/>
        <w:rPr>
          <w:rFonts w:ascii="黑体" w:hAnsi="黑体" w:eastAsia="黑体" w:cs="黑体"/>
          <w:sz w:val="32"/>
          <w:szCs w:val="32"/>
        </w:rPr>
      </w:pPr>
    </w:p>
    <w:p>
      <w:pPr>
        <w:spacing w:line="360" w:lineRule="auto"/>
        <w:jc w:val="center"/>
        <w:rPr>
          <w:rFonts w:hint="eastAsia" w:ascii="黑体" w:hAnsi="ˎ̥" w:eastAsia="黑体"/>
          <w:sz w:val="32"/>
          <w:szCs w:val="32"/>
        </w:rPr>
      </w:pPr>
      <w:r>
        <w:rPr>
          <w:rFonts w:hint="eastAsia" w:ascii="黑体" w:hAnsi="ˎ̥" w:eastAsia="黑体"/>
          <w:sz w:val="32"/>
          <w:szCs w:val="32"/>
        </w:rPr>
        <w:t>第三部分  海口市美兰区水务局2019年度部门决算</w:t>
      </w:r>
    </w:p>
    <w:p>
      <w:pPr>
        <w:spacing w:line="360" w:lineRule="auto"/>
        <w:jc w:val="center"/>
        <w:rPr>
          <w:rFonts w:ascii="黑体" w:hAnsi="黑体" w:eastAsia="黑体" w:cs="黑体"/>
          <w:sz w:val="32"/>
          <w:szCs w:val="32"/>
        </w:rPr>
      </w:pPr>
      <w:r>
        <w:rPr>
          <w:rFonts w:hint="eastAsia" w:ascii="黑体" w:hAnsi="ˎ̥" w:eastAsia="黑体"/>
          <w:sz w:val="32"/>
          <w:szCs w:val="32"/>
        </w:rPr>
        <w:t>情况说明</w:t>
      </w:r>
    </w:p>
    <w:p>
      <w:pPr>
        <w:numPr>
          <w:ilvl w:val="0"/>
          <w:numId w:val="2"/>
        </w:numPr>
        <w:spacing w:beforeAutospacing="1" w:after="0" w:afterAutospacing="1" w:line="360" w:lineRule="auto"/>
        <w:ind w:firstLine="640" w:firstLineChars="200"/>
        <w:rPr>
          <w:rFonts w:hint="eastAsia" w:ascii="仿宋_GB2312" w:hAnsi="ˎ̥" w:eastAsia="仿宋_GB2312"/>
          <w:sz w:val="32"/>
          <w:szCs w:val="32"/>
        </w:rPr>
      </w:pPr>
      <w:r>
        <w:rPr>
          <w:rFonts w:hint="eastAsia" w:ascii="黑体" w:hAnsi="宋体" w:eastAsia="黑体" w:cs="黑体"/>
          <w:bCs/>
          <w:sz w:val="32"/>
          <w:szCs w:val="32"/>
        </w:rPr>
        <w:t>收入支出决算总体情况说明</w:t>
      </w:r>
      <w:r>
        <w:br w:type="textWrapping"/>
      </w:r>
      <w:r>
        <w:rPr>
          <w:rFonts w:ascii="仿宋_GB2312" w:hAnsi="ˎ̥" w:eastAsia="仿宋_GB2312"/>
          <w:sz w:val="32"/>
          <w:szCs w:val="32"/>
        </w:rPr>
        <w:t>2019年度收、支总计12,903.30万元，与2018年度相比，收入、支出总计各增加</w:t>
      </w:r>
      <w:r>
        <w:rPr>
          <w:rFonts w:hint="eastAsia" w:ascii="仿宋_GB2312" w:hAnsi="ˎ̥" w:eastAsia="仿宋_GB2312"/>
          <w:sz w:val="32"/>
          <w:szCs w:val="32"/>
        </w:rPr>
        <w:t>4,635.66</w:t>
      </w:r>
      <w:r>
        <w:rPr>
          <w:rFonts w:ascii="仿宋_GB2312" w:hAnsi="ˎ̥" w:eastAsia="仿宋_GB2312"/>
          <w:sz w:val="32"/>
          <w:szCs w:val="32"/>
        </w:rPr>
        <w:t>万元，增长</w:t>
      </w:r>
      <w:r>
        <w:rPr>
          <w:rFonts w:hint="eastAsia" w:ascii="仿宋_GB2312" w:hAnsi="ˎ̥" w:eastAsia="仿宋_GB2312"/>
          <w:sz w:val="32"/>
          <w:szCs w:val="32"/>
        </w:rPr>
        <w:t>56.07</w:t>
      </w:r>
      <w:r>
        <w:rPr>
          <w:rFonts w:ascii="仿宋_GB2312" w:hAnsi="ˎ̥" w:eastAsia="仿宋_GB2312"/>
          <w:sz w:val="32"/>
          <w:szCs w:val="32"/>
        </w:rPr>
        <w:t>%。主要原因：一是</w:t>
      </w:r>
      <w:r>
        <w:rPr>
          <w:rFonts w:hint="eastAsia" w:ascii="仿宋_GB2312" w:hAnsi="ˎ̥" w:eastAsia="仿宋_GB2312"/>
          <w:sz w:val="32"/>
          <w:szCs w:val="32"/>
        </w:rPr>
        <w:t>2019年度财政拨款、年初结转结余等增加1406.01万元</w:t>
      </w:r>
      <w:r>
        <w:rPr>
          <w:rFonts w:ascii="仿宋_GB2312" w:hAnsi="ˎ̥" w:eastAsia="仿宋_GB2312"/>
          <w:sz w:val="32"/>
          <w:szCs w:val="32"/>
        </w:rPr>
        <w:t>；二是用事业基金弥补收支差额0.00万元，较2018年度决算</w:t>
      </w:r>
      <w:r>
        <w:rPr>
          <w:rFonts w:hint="eastAsia" w:ascii="仿宋_GB2312" w:hAnsi="ˎ̥" w:eastAsia="仿宋_GB2312"/>
          <w:sz w:val="32"/>
          <w:szCs w:val="32"/>
        </w:rPr>
        <w:t>无增加</w:t>
      </w:r>
      <w:r>
        <w:rPr>
          <w:rFonts w:ascii="仿宋_GB2312" w:hAnsi="ˎ̥" w:eastAsia="仿宋_GB2312"/>
          <w:sz w:val="32"/>
          <w:szCs w:val="32"/>
        </w:rPr>
        <w:t>。年初结转结余2,358.88万元，较2018年度决算数增加</w:t>
      </w:r>
      <w:r>
        <w:rPr>
          <w:rFonts w:hint="eastAsia" w:ascii="仿宋_GB2312" w:hAnsi="ˎ̥" w:eastAsia="仿宋_GB2312"/>
          <w:sz w:val="32"/>
          <w:szCs w:val="32"/>
        </w:rPr>
        <w:t>437.36</w:t>
      </w:r>
      <w:r>
        <w:rPr>
          <w:rFonts w:ascii="仿宋_GB2312" w:hAnsi="ˎ̥" w:eastAsia="仿宋_GB2312"/>
          <w:sz w:val="32"/>
          <w:szCs w:val="32"/>
        </w:rPr>
        <w:t>万元，增长</w:t>
      </w:r>
      <w:r>
        <w:rPr>
          <w:rFonts w:hint="eastAsia" w:ascii="仿宋_GB2312" w:hAnsi="ˎ̥" w:eastAsia="仿宋_GB2312"/>
          <w:sz w:val="32"/>
          <w:szCs w:val="32"/>
        </w:rPr>
        <w:t>22.76%</w:t>
      </w:r>
      <w:r>
        <w:rPr>
          <w:rFonts w:ascii="仿宋_GB2312" w:hAnsi="ˎ̥" w:eastAsia="仿宋_GB2312"/>
          <w:sz w:val="32"/>
          <w:szCs w:val="32"/>
        </w:rPr>
        <w:t>，主要是</w:t>
      </w:r>
      <w:r>
        <w:rPr>
          <w:rFonts w:hint="eastAsia" w:ascii="仿宋_GB2312" w:hAnsi="ˎ̥" w:eastAsia="仿宋_GB2312"/>
          <w:sz w:val="32"/>
          <w:szCs w:val="32"/>
        </w:rPr>
        <w:t>项目支出结转和结余较多</w:t>
      </w:r>
      <w:r>
        <w:rPr>
          <w:rFonts w:ascii="仿宋_GB2312" w:hAnsi="ˎ̥" w:eastAsia="仿宋_GB2312"/>
          <w:sz w:val="32"/>
          <w:szCs w:val="32"/>
        </w:rPr>
        <w:t>。结余分配</w:t>
      </w:r>
      <w:r>
        <w:rPr>
          <w:rFonts w:hint="eastAsia" w:ascii="仿宋_GB2312" w:hAnsi="ˎ̥" w:eastAsia="仿宋_GB2312"/>
          <w:sz w:val="32"/>
          <w:szCs w:val="32"/>
        </w:rPr>
        <w:t>0.13</w:t>
      </w:r>
      <w:r>
        <w:rPr>
          <w:rFonts w:ascii="仿宋_GB2312" w:hAnsi="ˎ̥" w:eastAsia="仿宋_GB2312"/>
          <w:sz w:val="32"/>
          <w:szCs w:val="32"/>
        </w:rPr>
        <w:t>万元，较2018年度决算数增加</w:t>
      </w:r>
      <w:r>
        <w:rPr>
          <w:rFonts w:hint="eastAsia" w:ascii="仿宋_GB2312" w:hAnsi="ˎ̥" w:eastAsia="仿宋_GB2312"/>
          <w:sz w:val="32"/>
          <w:szCs w:val="32"/>
        </w:rPr>
        <w:t>0.04</w:t>
      </w:r>
      <w:r>
        <w:rPr>
          <w:rFonts w:ascii="仿宋_GB2312" w:hAnsi="ˎ̥" w:eastAsia="仿宋_GB2312"/>
          <w:sz w:val="32"/>
          <w:szCs w:val="32"/>
        </w:rPr>
        <w:t>万元，增长</w:t>
      </w:r>
      <w:r>
        <w:rPr>
          <w:rFonts w:hint="eastAsia" w:ascii="仿宋_GB2312" w:hAnsi="ˎ̥" w:eastAsia="仿宋_GB2312"/>
          <w:sz w:val="32"/>
          <w:szCs w:val="32"/>
        </w:rPr>
        <w:t>44.44</w:t>
      </w:r>
      <w:r>
        <w:rPr>
          <w:rFonts w:ascii="仿宋_GB2312" w:hAnsi="ˎ̥" w:eastAsia="仿宋_GB2312"/>
          <w:sz w:val="32"/>
          <w:szCs w:val="32"/>
        </w:rPr>
        <w:t>%，主要原因是</w:t>
      </w:r>
      <w:r>
        <w:rPr>
          <w:rFonts w:hint="eastAsia" w:ascii="仿宋_GB2312" w:hAnsi="ˎ̥" w:eastAsia="仿宋_GB2312"/>
          <w:sz w:val="32"/>
          <w:szCs w:val="32"/>
        </w:rPr>
        <w:t>结余分配转入事业基金大幅增加</w:t>
      </w:r>
      <w:r>
        <w:rPr>
          <w:rFonts w:ascii="仿宋_GB2312" w:hAnsi="ˎ̥" w:eastAsia="仿宋_GB2312"/>
          <w:sz w:val="32"/>
          <w:szCs w:val="32"/>
        </w:rPr>
        <w:t>。年末结转结余2,580.84万元，较2018年度决算数减少</w:t>
      </w:r>
      <w:r>
        <w:rPr>
          <w:rFonts w:hint="eastAsia" w:ascii="仿宋_GB2312" w:hAnsi="ˎ̥" w:eastAsia="仿宋_GB2312"/>
          <w:sz w:val="32"/>
          <w:szCs w:val="32"/>
        </w:rPr>
        <w:t>730.08</w:t>
      </w:r>
      <w:r>
        <w:rPr>
          <w:rFonts w:ascii="仿宋_GB2312" w:hAnsi="ˎ̥" w:eastAsia="仿宋_GB2312"/>
          <w:sz w:val="32"/>
          <w:szCs w:val="32"/>
        </w:rPr>
        <w:t>万元，下降</w:t>
      </w:r>
      <w:r>
        <w:rPr>
          <w:rFonts w:hint="eastAsia" w:ascii="仿宋_GB2312" w:hAnsi="ˎ̥" w:eastAsia="仿宋_GB2312"/>
          <w:sz w:val="32"/>
          <w:szCs w:val="32"/>
        </w:rPr>
        <w:t>28.29</w:t>
      </w:r>
      <w:r>
        <w:rPr>
          <w:rFonts w:ascii="仿宋_GB2312" w:hAnsi="ˎ̥" w:eastAsia="仿宋_GB2312"/>
          <w:sz w:val="32"/>
          <w:szCs w:val="32"/>
        </w:rPr>
        <w:t>%，主要原因是</w:t>
      </w:r>
      <w:r>
        <w:rPr>
          <w:rFonts w:hint="eastAsia" w:ascii="仿宋_GB2312" w:hAnsi="ˎ̥" w:eastAsia="仿宋_GB2312"/>
          <w:sz w:val="32"/>
          <w:szCs w:val="32"/>
        </w:rPr>
        <w:t>项目支出结转和结余减少</w:t>
      </w:r>
      <w:r>
        <w:rPr>
          <w:rFonts w:ascii="仿宋_GB2312" w:hAnsi="ˎ̥" w:eastAsia="仿宋_GB2312"/>
          <w:sz w:val="32"/>
          <w:szCs w:val="32"/>
        </w:rPr>
        <w:t>。</w:t>
      </w:r>
    </w:p>
    <w:p>
      <w:pPr>
        <w:spacing w:beforeAutospacing="1" w:after="0" w:afterAutospacing="1" w:line="360" w:lineRule="auto"/>
        <w:ind w:left="440" w:leftChars="200"/>
        <w:rPr>
          <w:rFonts w:ascii="黑体" w:hAnsi="黑体" w:eastAsia="黑体" w:cs="黑体"/>
          <w:bCs/>
          <w:sz w:val="32"/>
          <w:szCs w:val="32"/>
        </w:rPr>
      </w:pPr>
      <w:r>
        <w:rPr>
          <w:rFonts w:hint="eastAsia" w:ascii="黑体" w:hAnsi="黑体" w:eastAsia="黑体" w:cs="黑体"/>
          <w:bCs/>
          <w:sz w:val="32"/>
          <w:szCs w:val="32"/>
        </w:rPr>
        <w:t>二、收入决算情况说明</w:t>
      </w:r>
    </w:p>
    <w:p>
      <w:pPr>
        <w:spacing w:beforeAutospacing="1" w:after="0" w:afterAutospacing="1" w:line="360" w:lineRule="auto"/>
        <w:rPr>
          <w:rFonts w:hint="eastAsia" w:ascii="仿宋_GB2312" w:hAnsi="ˎ̥" w:eastAsia="仿宋_GB2312"/>
          <w:sz w:val="32"/>
          <w:szCs w:val="32"/>
        </w:rPr>
      </w:pPr>
      <w:r>
        <w:rPr>
          <w:rFonts w:hint="eastAsia" w:ascii="仿宋_GB2312" w:hAnsi="ˎ̥" w:eastAsia="仿宋_GB2312"/>
          <w:sz w:val="32"/>
          <w:szCs w:val="32"/>
        </w:rPr>
        <w:t>本年收入合计10544.42万元，其中：财政拨款收入9727.69万元，占92.25%；政府性基金预算财政拨款727.9万元，占6.9%；其他收入88.83万元，占0.85%。</w:t>
      </w:r>
    </w:p>
    <w:p>
      <w:pPr>
        <w:numPr>
          <w:ilvl w:val="0"/>
          <w:numId w:val="3"/>
        </w:numPr>
        <w:tabs>
          <w:tab w:val="left" w:pos="358"/>
        </w:tabs>
        <w:spacing w:line="360" w:lineRule="auto"/>
        <w:ind w:firstLine="627" w:firstLineChars="196"/>
        <w:rPr>
          <w:rFonts w:ascii="黑体" w:hAnsi="黑体" w:eastAsia="黑体" w:cs="黑体"/>
          <w:bCs/>
          <w:sz w:val="32"/>
          <w:szCs w:val="32"/>
        </w:rPr>
      </w:pPr>
      <w:r>
        <w:rPr>
          <w:rFonts w:hint="eastAsia" w:ascii="黑体" w:hAnsi="黑体" w:eastAsia="黑体" w:cs="黑体"/>
          <w:bCs/>
          <w:sz w:val="32"/>
          <w:szCs w:val="32"/>
        </w:rPr>
        <w:t>支出决算情况说明</w:t>
      </w:r>
    </w:p>
    <w:p>
      <w:pPr>
        <w:spacing w:line="360" w:lineRule="auto"/>
        <w:rPr>
          <w:rFonts w:hint="eastAsia" w:ascii="仿宋_GB2312" w:hAnsi="ˎ̥" w:eastAsia="仿宋_GB2312"/>
          <w:sz w:val="32"/>
          <w:szCs w:val="32"/>
        </w:rPr>
      </w:pPr>
      <w:r>
        <w:rPr>
          <w:rFonts w:hint="eastAsia" w:ascii="仿宋_GB2312" w:hAnsi="ˎ̥" w:eastAsia="仿宋_GB2312"/>
          <w:sz w:val="32"/>
          <w:szCs w:val="32"/>
        </w:rPr>
        <w:t>本年支出合计10322.33万元，其中：基本支出315.46万元，占3.06%；项目支出10006.87万元，占96.94%。</w:t>
      </w:r>
    </w:p>
    <w:p>
      <w:pPr>
        <w:spacing w:line="360" w:lineRule="auto"/>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spacing w:beforeAutospacing="1" w:after="0" w:afterAutospacing="1" w:line="360" w:lineRule="auto"/>
        <w:rPr>
          <w:rFonts w:hint="eastAsia" w:ascii="仿宋_GB2312" w:hAnsi="ˎ̥" w:eastAsia="仿宋_GB2312"/>
          <w:sz w:val="32"/>
          <w:szCs w:val="32"/>
        </w:rPr>
      </w:pPr>
      <w:r>
        <w:rPr>
          <w:rFonts w:hint="eastAsia" w:ascii="仿宋_GB2312" w:hAnsi="ˎ̥" w:eastAsia="仿宋_GB2312"/>
          <w:sz w:val="32"/>
          <w:szCs w:val="32"/>
        </w:rPr>
        <w:t xml:space="preserve">    2019年度财政拨款收入、支出总计12903.30万元。与2018年度相比，财政拨款收入、支出总计增加4635.66万元，增长56.07</w:t>
      </w:r>
      <w:r>
        <w:rPr>
          <w:rFonts w:ascii="仿宋_GB2312" w:hAnsi="ˎ̥" w:eastAsia="仿宋_GB2312"/>
          <w:sz w:val="32"/>
          <w:szCs w:val="32"/>
        </w:rPr>
        <w:t>%</w:t>
      </w:r>
      <w:r>
        <w:rPr>
          <w:rFonts w:hint="eastAsia" w:ascii="仿宋_GB2312" w:hAnsi="ˎ̥" w:eastAsia="仿宋_GB2312"/>
          <w:sz w:val="32"/>
          <w:szCs w:val="32"/>
        </w:rPr>
        <w:t>。主要原因：一是一般公共预算财政拨款和政府性基金预算财政拨款增加3384.70万元；二是年初财政拨款、结转和结余增加1250.96万元。</w:t>
      </w:r>
    </w:p>
    <w:p>
      <w:pPr>
        <w:spacing w:beforeAutospacing="1" w:after="0" w:afterAutospacing="1" w:line="360" w:lineRule="auto"/>
        <w:ind w:firstLine="640"/>
        <w:rPr>
          <w:rFonts w:hint="eastAsia" w:ascii="仿宋_GB2312" w:hAnsi="ˎ̥" w:eastAsia="仿宋_GB2312"/>
          <w:sz w:val="32"/>
          <w:szCs w:val="32"/>
        </w:rPr>
      </w:pPr>
      <w:r>
        <w:rPr>
          <w:rFonts w:hint="eastAsia" w:ascii="仿宋_GB2312" w:hAnsi="ˎ̥" w:eastAsia="仿宋_GB2312"/>
          <w:sz w:val="32"/>
          <w:szCs w:val="32"/>
        </w:rPr>
        <w:t>财政拨款年初结转结余2358.88万元，主要是水务局本级2018年度多个项目建设尚未完成，因在建所产生的资金结转到2019年，仍按原规定用途使用的资金。2019年度一般公共预算财政拨款结转结余，较2018年度决算数增加437.36万元，增加22.76%，主要原因是2018年度尚有部分项目未完成，项目资金结转至本年度继续使用。</w:t>
      </w:r>
    </w:p>
    <w:p>
      <w:pPr>
        <w:spacing w:beforeAutospacing="1" w:after="0" w:afterAutospacing="1" w:line="360" w:lineRule="auto"/>
        <w:ind w:firstLine="640"/>
        <w:rPr>
          <w:rFonts w:hint="eastAsia" w:ascii="仿宋_GB2312" w:hAnsi="ˎ̥" w:eastAsia="仿宋_GB2312"/>
          <w:sz w:val="32"/>
          <w:szCs w:val="32"/>
        </w:rPr>
      </w:pPr>
      <w:r>
        <w:rPr>
          <w:rFonts w:hint="eastAsia" w:ascii="仿宋_GB2312" w:hAnsi="ˎ̥" w:eastAsia="仿宋_GB2312"/>
          <w:sz w:val="32"/>
          <w:szCs w:val="32"/>
        </w:rPr>
        <w:t>财政拨款年末结转结余2580.84万元，主要是项目支出结转结余，较2018年度年末决算数减少730.08万元，减少22.05%，主要原因是2019年延续到第二年的项目减少。</w:t>
      </w:r>
    </w:p>
    <w:p>
      <w:pPr>
        <w:spacing w:line="360" w:lineRule="auto"/>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spacing w:line="360" w:lineRule="auto"/>
        <w:ind w:firstLine="640" w:firstLineChars="200"/>
        <w:rPr>
          <w:rFonts w:ascii="楷体" w:hAnsi="楷体" w:eastAsia="楷体" w:cs="楷体"/>
          <w:sz w:val="32"/>
          <w:szCs w:val="32"/>
        </w:rPr>
      </w:pPr>
      <w:bookmarkStart w:id="57" w:name="_Toc17398_WPSOffice_Level2"/>
      <w:bookmarkStart w:id="58" w:name="_Toc13694_WPSOffice_Level2"/>
      <w:bookmarkStart w:id="59" w:name="_Toc23005_WPSOffice_Level2"/>
      <w:bookmarkStart w:id="60" w:name="_Toc21737_WPSOffice_Level2"/>
      <w:bookmarkStart w:id="61" w:name="_Toc19665_WPSOffice_Level2"/>
      <w:bookmarkStart w:id="62" w:name="_Toc9989_WPSOffice_Level2"/>
      <w:r>
        <w:rPr>
          <w:rFonts w:hint="eastAsia" w:ascii="楷体" w:hAnsi="楷体" w:eastAsia="楷体" w:cs="楷体"/>
          <w:sz w:val="32"/>
          <w:szCs w:val="32"/>
        </w:rPr>
        <w:t>（一）一般公共预算财政拨款支出决算总体情况</w:t>
      </w:r>
      <w:bookmarkEnd w:id="57"/>
      <w:bookmarkEnd w:id="58"/>
      <w:r>
        <w:rPr>
          <w:rFonts w:hint="eastAsia" w:ascii="楷体" w:hAnsi="楷体" w:eastAsia="楷体" w:cs="楷体"/>
          <w:sz w:val="32"/>
          <w:szCs w:val="32"/>
        </w:rPr>
        <w:t>。</w:t>
      </w:r>
      <w:bookmarkEnd w:id="59"/>
      <w:bookmarkEnd w:id="60"/>
      <w:bookmarkEnd w:id="61"/>
      <w:bookmarkEnd w:id="62"/>
    </w:p>
    <w:p>
      <w:pPr>
        <w:spacing w:beforeAutospacing="1" w:after="0" w:afterAutospacing="1" w:line="360" w:lineRule="auto"/>
        <w:ind w:firstLine="640"/>
        <w:rPr>
          <w:rFonts w:hint="eastAsia" w:ascii="仿宋_GB2312" w:hAnsi="ˎ̥" w:eastAsia="仿宋_GB2312"/>
          <w:sz w:val="32"/>
          <w:szCs w:val="32"/>
        </w:rPr>
      </w:pPr>
      <w:r>
        <w:rPr>
          <w:rFonts w:hint="eastAsia" w:ascii="仿宋_GB2312" w:hAnsi="ˎ̥" w:eastAsia="仿宋_GB2312"/>
          <w:sz w:val="32"/>
          <w:szCs w:val="32"/>
        </w:rPr>
        <w:t>2019年度一般公共预算财政拨款支出8909.51万元，占本年支出合计的91.59%。与2018年度相比，财政拨款支出增加4570.02万元，增长105.31%，主要原因是社会保障和就业支出、医疗卫生与计划生育支出、农林水支出增加。</w:t>
      </w:r>
    </w:p>
    <w:p>
      <w:pPr>
        <w:spacing w:line="360" w:lineRule="auto"/>
        <w:ind w:firstLine="640" w:firstLineChars="200"/>
        <w:rPr>
          <w:rFonts w:ascii="楷体" w:hAnsi="楷体" w:eastAsia="楷体" w:cs="楷体"/>
          <w:sz w:val="32"/>
          <w:szCs w:val="32"/>
        </w:rPr>
      </w:pPr>
      <w:bookmarkStart w:id="63" w:name="_Toc2711_WPSOffice_Level2"/>
      <w:bookmarkStart w:id="64" w:name="_Toc18793_WPSOffice_Level2"/>
      <w:bookmarkStart w:id="65" w:name="_Toc19075_WPSOffice_Level2"/>
      <w:bookmarkStart w:id="66" w:name="_Toc23864_WPSOffice_Level2"/>
      <w:bookmarkStart w:id="67" w:name="_Toc19535_WPSOffice_Level2"/>
      <w:bookmarkStart w:id="68" w:name="_Toc27767_WPSOffice_Level2"/>
      <w:r>
        <w:rPr>
          <w:rFonts w:hint="eastAsia" w:ascii="楷体" w:hAnsi="楷体" w:eastAsia="楷体" w:cs="楷体"/>
          <w:sz w:val="32"/>
          <w:szCs w:val="32"/>
        </w:rPr>
        <w:t>（二）一般公共预算财政拨款支出决算结构情况</w:t>
      </w:r>
      <w:bookmarkEnd w:id="63"/>
      <w:bookmarkEnd w:id="64"/>
      <w:r>
        <w:rPr>
          <w:rFonts w:hint="eastAsia" w:ascii="楷体" w:hAnsi="楷体" w:eastAsia="楷体" w:cs="楷体"/>
          <w:sz w:val="32"/>
          <w:szCs w:val="32"/>
        </w:rPr>
        <w:t>。</w:t>
      </w:r>
      <w:bookmarkEnd w:id="65"/>
      <w:bookmarkEnd w:id="66"/>
      <w:bookmarkEnd w:id="67"/>
      <w:bookmarkEnd w:id="68"/>
    </w:p>
    <w:p>
      <w:pPr>
        <w:spacing w:beforeAutospacing="1" w:after="0" w:afterAutospacing="1" w:line="360" w:lineRule="auto"/>
        <w:ind w:firstLine="640"/>
        <w:rPr>
          <w:rFonts w:hint="eastAsia" w:ascii="仿宋_GB2312" w:hAnsi="ˎ̥" w:eastAsia="仿宋_GB2312"/>
          <w:sz w:val="32"/>
          <w:szCs w:val="32"/>
        </w:rPr>
      </w:pPr>
      <w:r>
        <w:rPr>
          <w:rFonts w:hint="eastAsia" w:ascii="仿宋_GB2312" w:hAnsi="ˎ̥" w:eastAsia="仿宋_GB2312"/>
          <w:sz w:val="32"/>
          <w:szCs w:val="32"/>
        </w:rPr>
        <w:t>2019年度一般公共预算财政拨款支出8909.51万元，主要用于以下方面：</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sz w:val="32"/>
          <w:szCs w:val="32"/>
        </w:rPr>
        <w:t>一般公共服务</w:t>
      </w:r>
      <w:r>
        <w:rPr>
          <w:rFonts w:hint="eastAsia" w:ascii="仿宋_GB2312" w:hAnsi="ˎ̥" w:eastAsia="仿宋_GB2312"/>
          <w:sz w:val="32"/>
          <w:szCs w:val="32"/>
        </w:rPr>
        <w:t>支出6.18万元，占0.07%；</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sz w:val="32"/>
          <w:szCs w:val="32"/>
        </w:rPr>
        <w:t>社会保障和就业</w:t>
      </w:r>
      <w:r>
        <w:rPr>
          <w:rFonts w:hint="eastAsia" w:ascii="仿宋_GB2312" w:hAnsi="ˎ̥" w:eastAsia="仿宋_GB2312"/>
          <w:sz w:val="32"/>
          <w:szCs w:val="32"/>
        </w:rPr>
        <w:t>支出129.49万元，占1.45%；</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sz w:val="32"/>
          <w:szCs w:val="32"/>
        </w:rPr>
        <w:t>医疗卫生与计划生育</w:t>
      </w:r>
      <w:r>
        <w:rPr>
          <w:rFonts w:hint="eastAsia" w:ascii="仿宋_GB2312" w:hAnsi="ˎ̥" w:eastAsia="仿宋_GB2312"/>
          <w:sz w:val="32"/>
          <w:szCs w:val="32"/>
        </w:rPr>
        <w:t>支出53.59万元，占0.61%；</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sz w:val="32"/>
          <w:szCs w:val="32"/>
        </w:rPr>
        <w:t>城乡社区</w:t>
      </w:r>
      <w:r>
        <w:rPr>
          <w:rFonts w:hint="eastAsia" w:ascii="仿宋_GB2312" w:hAnsi="ˎ̥" w:eastAsia="仿宋_GB2312"/>
          <w:sz w:val="32"/>
          <w:szCs w:val="32"/>
        </w:rPr>
        <w:t>支出18.3万元，占0.21%；</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sz w:val="32"/>
          <w:szCs w:val="32"/>
        </w:rPr>
        <w:t>节能环保</w:t>
      </w:r>
      <w:r>
        <w:rPr>
          <w:rFonts w:hint="eastAsia" w:ascii="仿宋_GB2312" w:hAnsi="ˎ̥" w:eastAsia="仿宋_GB2312"/>
          <w:sz w:val="32"/>
          <w:szCs w:val="32"/>
        </w:rPr>
        <w:t>支出1365万元，占15.32%；</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sz w:val="32"/>
          <w:szCs w:val="32"/>
        </w:rPr>
        <w:t>农林水</w:t>
      </w:r>
      <w:r>
        <w:rPr>
          <w:rFonts w:hint="eastAsia" w:ascii="仿宋_GB2312" w:hAnsi="ˎ̥" w:eastAsia="仿宋_GB2312"/>
          <w:sz w:val="32"/>
          <w:szCs w:val="32"/>
        </w:rPr>
        <w:t>支出7298.65万元，占81.92%；</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bCs/>
          <w:sz w:val="32"/>
          <w:szCs w:val="32"/>
        </w:rPr>
        <w:t>住房保障</w:t>
      </w:r>
      <w:r>
        <w:rPr>
          <w:rFonts w:hint="eastAsia" w:ascii="仿宋_GB2312" w:hAnsi="ˎ̥" w:eastAsia="仿宋_GB2312"/>
          <w:sz w:val="32"/>
          <w:szCs w:val="32"/>
        </w:rPr>
        <w:t>支出38.30万元，占0.42%。</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（三）一般公共预算财政拨款支出决算具体情况。</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2019年度一般公共预算财政拨款支出年初预算为9727.69万元，支出决算为8909.51万元，完成年初预算的91.59%。其中：</w:t>
      </w:r>
    </w:p>
    <w:p>
      <w:pPr>
        <w:spacing w:line="360" w:lineRule="auto"/>
        <w:ind w:firstLine="640" w:firstLineChars="200"/>
        <w:rPr>
          <w:rFonts w:hint="eastAsia"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一般公共服务支出（类）组织事务（款）其他组织事务支出（项）。</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年初预算为8.16万元，支出决算为6.18万元，完成年初预算的75.74%。</w:t>
      </w:r>
    </w:p>
    <w:p>
      <w:pPr>
        <w:spacing w:line="360" w:lineRule="auto"/>
        <w:ind w:firstLine="640" w:firstLineChars="200"/>
        <w:rPr>
          <w:rFonts w:hint="eastAsia" w:ascii="仿宋_GB2312" w:hAnsi="ˎ̥" w:eastAsia="仿宋_GB2312"/>
          <w:b/>
          <w:sz w:val="32"/>
          <w:szCs w:val="32"/>
        </w:rPr>
      </w:pPr>
      <w:r>
        <w:rPr>
          <w:rFonts w:hint="eastAsia" w:ascii="仿宋_GB2312" w:hAnsi="ˎ̥" w:eastAsia="仿宋_GB2312"/>
          <w:sz w:val="32"/>
          <w:szCs w:val="32"/>
        </w:rPr>
        <w:t>2.</w:t>
      </w:r>
      <w:r>
        <w:rPr>
          <w:rFonts w:hint="eastAsia" w:ascii="仿宋_GB2312" w:hAnsi="ˎ̥" w:eastAsia="仿宋_GB2312"/>
          <w:b/>
          <w:sz w:val="32"/>
          <w:szCs w:val="32"/>
        </w:rPr>
        <w:t>社会保障和就业支出（类）行政事业单位离退休（款）机关事业单位基本养老保险缴费支出（项）。</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年初预算为62.95万元，支出决算为62.95万元，完成年初预算的100%。</w:t>
      </w:r>
    </w:p>
    <w:p>
      <w:pPr>
        <w:spacing w:line="360" w:lineRule="auto"/>
        <w:ind w:firstLine="640" w:firstLineChars="200"/>
        <w:rPr>
          <w:rFonts w:hint="eastAsia" w:ascii="仿宋_GB2312" w:hAnsi="ˎ̥" w:eastAsia="仿宋_GB2312"/>
          <w:b/>
          <w:sz w:val="32"/>
          <w:szCs w:val="32"/>
        </w:rPr>
      </w:pPr>
      <w:r>
        <w:rPr>
          <w:rFonts w:hint="eastAsia" w:ascii="仿宋_GB2312" w:hAnsi="ˎ̥" w:eastAsia="仿宋_GB2312"/>
          <w:sz w:val="32"/>
          <w:szCs w:val="32"/>
        </w:rPr>
        <w:t>3.</w:t>
      </w:r>
      <w:r>
        <w:rPr>
          <w:rFonts w:hint="eastAsia" w:ascii="仿宋_GB2312" w:hAnsi="ˎ̥" w:eastAsia="仿宋_GB2312"/>
          <w:b/>
          <w:sz w:val="32"/>
          <w:szCs w:val="32"/>
        </w:rPr>
        <w:t>医疗卫生与计划生育支出（类）行政事业单位医疗（款）机关事业单位职业年金缴费支出（项）。</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年初预算为16.79万元，支出决算为16.79万元，完成年初预算的100%。</w:t>
      </w:r>
    </w:p>
    <w:p>
      <w:pPr>
        <w:spacing w:line="360" w:lineRule="auto"/>
        <w:ind w:firstLine="640" w:firstLineChars="200"/>
        <w:rPr>
          <w:rFonts w:hint="eastAsia" w:ascii="仿宋_GB2312" w:hAnsi="ˎ̥" w:eastAsia="仿宋_GB2312"/>
          <w:b/>
          <w:sz w:val="32"/>
          <w:szCs w:val="32"/>
        </w:rPr>
      </w:pPr>
      <w:r>
        <w:rPr>
          <w:rFonts w:hint="eastAsia" w:ascii="仿宋_GB2312" w:hAnsi="ˎ̥" w:eastAsia="仿宋_GB2312"/>
          <w:sz w:val="32"/>
          <w:szCs w:val="32"/>
        </w:rPr>
        <w:t>4.</w:t>
      </w:r>
      <w:r>
        <w:rPr>
          <w:rFonts w:hint="eastAsia" w:ascii="仿宋_GB2312" w:hAnsi="ˎ̥" w:eastAsia="仿宋_GB2312"/>
          <w:b/>
          <w:sz w:val="32"/>
          <w:szCs w:val="32"/>
        </w:rPr>
        <w:t>医疗卫生与计划生育支出（类）行政事业单位医疗（款）其他行政事业单位离退休支出（项）。</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年初预算为21.1万元，支出决算为21.1万元，完成年初预算的100%。</w:t>
      </w:r>
    </w:p>
    <w:p>
      <w:pPr>
        <w:numPr>
          <w:ilvl w:val="0"/>
          <w:numId w:val="4"/>
        </w:num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医疗卫生与计划生育支出（类）行政事业单位医疗（款）抚恤（项）。</w:t>
      </w:r>
    </w:p>
    <w:p>
      <w:pPr>
        <w:spacing w:line="360" w:lineRule="auto"/>
        <w:ind w:firstLine="640" w:firstLineChars="200"/>
        <w:rPr>
          <w:rFonts w:hint="eastAsia" w:ascii="仿宋_GB2312" w:hAnsi="ˎ̥" w:eastAsia="仿宋_GB2312"/>
          <w:b/>
          <w:sz w:val="32"/>
          <w:szCs w:val="32"/>
        </w:rPr>
      </w:pPr>
      <w:r>
        <w:rPr>
          <w:rFonts w:hint="eastAsia" w:ascii="仿宋_GB2312" w:hAnsi="ˎ̥" w:eastAsia="仿宋_GB2312"/>
          <w:sz w:val="32"/>
          <w:szCs w:val="32"/>
        </w:rPr>
        <w:t>年初预算为28.65万元，支出决算为28.65万元，完成年初预算的100%。</w:t>
      </w:r>
    </w:p>
    <w:p>
      <w:pPr>
        <w:spacing w:line="360" w:lineRule="auto"/>
        <w:ind w:firstLine="640" w:firstLineChars="200"/>
        <w:rPr>
          <w:rFonts w:hint="eastAsia" w:ascii="仿宋_GB2312" w:hAnsi="ˎ̥" w:eastAsia="仿宋_GB2312"/>
          <w:b/>
          <w:sz w:val="32"/>
          <w:szCs w:val="32"/>
        </w:rPr>
      </w:pPr>
      <w:r>
        <w:rPr>
          <w:rFonts w:hint="eastAsia" w:ascii="仿宋_GB2312" w:hAnsi="ˎ̥" w:eastAsia="仿宋_GB2312"/>
          <w:sz w:val="32"/>
          <w:szCs w:val="32"/>
        </w:rPr>
        <w:t>6.</w:t>
      </w:r>
      <w:r>
        <w:rPr>
          <w:rFonts w:hint="eastAsia" w:ascii="仿宋_GB2312" w:hAnsi="ˎ̥" w:eastAsia="仿宋_GB2312"/>
          <w:b/>
          <w:sz w:val="32"/>
          <w:szCs w:val="32"/>
        </w:rPr>
        <w:t>节能环保支出（类）污染防治（款）水体（项）。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年初预算为0万元，支出决算为1365万元，主要原因：该笔资金专项用于区镇域污水处理厂及配套管网工程项目，该项目于2018年刚起步建设处于开发立项阶段</w:t>
      </w:r>
      <w:r>
        <w:rPr>
          <w:rFonts w:hint="eastAsia" w:ascii="仿宋_GB2312" w:hAnsi="ˎ̥" w:eastAsia="仿宋_GB2312"/>
          <w:sz w:val="32"/>
          <w:szCs w:val="32"/>
        </w:rPr>
        <w:t>，资金需结转到2019年按原规定用途使用并按施工进展进行拨付手续</w:t>
      </w:r>
      <w:r>
        <w:rPr>
          <w:rFonts w:hint="eastAsia" w:ascii="仿宋" w:hAnsi="仿宋" w:eastAsia="仿宋" w:cs="仿宋"/>
          <w:sz w:val="32"/>
          <w:szCs w:val="32"/>
        </w:rPr>
        <w:t>。</w:t>
      </w:r>
    </w:p>
    <w:p>
      <w:pPr>
        <w:spacing w:line="360" w:lineRule="auto"/>
        <w:ind w:firstLine="640" w:firstLineChars="200"/>
        <w:rPr>
          <w:rFonts w:hint="eastAsia" w:ascii="仿宋_GB2312" w:hAnsi="ˎ̥" w:eastAsia="仿宋_GB2312"/>
          <w:b/>
          <w:sz w:val="32"/>
          <w:szCs w:val="32"/>
        </w:rPr>
      </w:pPr>
      <w:r>
        <w:rPr>
          <w:rFonts w:hint="eastAsia" w:ascii="仿宋_GB2312" w:hAnsi="ˎ̥" w:eastAsia="仿宋_GB2312"/>
          <w:sz w:val="32"/>
          <w:szCs w:val="32"/>
        </w:rPr>
        <w:t>7.</w:t>
      </w:r>
      <w:r>
        <w:rPr>
          <w:rFonts w:hint="eastAsia" w:ascii="仿宋_GB2312" w:hAnsi="ˎ̥" w:eastAsia="仿宋_GB2312"/>
          <w:b/>
          <w:sz w:val="32"/>
          <w:szCs w:val="32"/>
        </w:rPr>
        <w:t>城乡社区支出（类）城乡社区管理事务（款）其他城乡社区管理事务支出（项）。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年初预算为20.88万元，支出决算为18.3万元，完成年初预算的0.87%。</w:t>
      </w:r>
    </w:p>
    <w:p>
      <w:pPr>
        <w:spacing w:line="360" w:lineRule="auto"/>
        <w:ind w:firstLine="640" w:firstLineChars="200"/>
        <w:rPr>
          <w:rFonts w:hint="eastAsia" w:ascii="仿宋_GB2312" w:hAnsi="ˎ̥" w:eastAsia="仿宋_GB2312"/>
          <w:b/>
          <w:sz w:val="32"/>
          <w:szCs w:val="32"/>
        </w:rPr>
      </w:pPr>
      <w:r>
        <w:rPr>
          <w:rFonts w:hint="eastAsia" w:ascii="仿宋_GB2312" w:hAnsi="ˎ̥" w:eastAsia="仿宋_GB2312"/>
          <w:sz w:val="32"/>
          <w:szCs w:val="32"/>
        </w:rPr>
        <w:t>8.</w:t>
      </w:r>
      <w:r>
        <w:rPr>
          <w:rFonts w:hint="eastAsia" w:ascii="仿宋_GB2312" w:hAnsi="ˎ̥" w:eastAsia="仿宋_GB2312"/>
          <w:b/>
          <w:sz w:val="32"/>
          <w:szCs w:val="32"/>
        </w:rPr>
        <w:t>农林水支出（类）水利（款）行政运行（项）。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年初预算为109.08万元，支出决算为109.08万元，完成年初预算的100%。</w:t>
      </w:r>
    </w:p>
    <w:p>
      <w:pPr>
        <w:spacing w:line="360" w:lineRule="auto"/>
        <w:ind w:firstLine="643" w:firstLineChars="200"/>
        <w:rPr>
          <w:rFonts w:ascii="仿宋" w:hAnsi="仿宋" w:eastAsia="仿宋" w:cs="仿宋"/>
          <w:sz w:val="32"/>
          <w:szCs w:val="32"/>
        </w:rPr>
      </w:pPr>
      <w:r>
        <w:rPr>
          <w:rFonts w:hint="eastAsia" w:ascii="仿宋_GB2312" w:hAnsi="ˎ̥" w:eastAsia="仿宋_GB2312"/>
          <w:b/>
          <w:sz w:val="32"/>
          <w:szCs w:val="32"/>
        </w:rPr>
        <w:t>9.农林水支出（类）水利（款）机关服务（项）。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年初预算为373.6万元，支出决算为373.6万元，完成年初预算的100%。</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10.农林水支出（类）水利（款）水利行业业务管理（项）。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年初预算为13.44万元，支出决算为13.44万元，完成年初预算的100%。</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11.农林水支出（类）水利（款）水利工程运行与维护（项）。</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年初预算为194.23万元，支出决算为98.51万元，完成年初预算的50.72%。</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12.农林水支出（类）水利（款）水利执法监督（项）。</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年初预算为16.47万元，支出决算为16.47万元，完成年初预算的100%。</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13.农林水支出（类）水利（款）水资源节约管理与保护（项）。</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年初预算为272.77万元，支出决算为272.77万元，完成年初预算的100%。</w:t>
      </w:r>
    </w:p>
    <w:p>
      <w:pPr>
        <w:spacing w:line="360" w:lineRule="auto"/>
        <w:ind w:firstLine="630" w:firstLineChars="196"/>
        <w:rPr>
          <w:rFonts w:ascii="仿宋" w:hAnsi="仿宋" w:eastAsia="仿宋" w:cs="仿宋"/>
          <w:sz w:val="32"/>
          <w:szCs w:val="32"/>
        </w:rPr>
      </w:pPr>
      <w:r>
        <w:rPr>
          <w:rFonts w:hint="eastAsia" w:ascii="仿宋_GB2312" w:hAnsi="ˎ̥" w:eastAsia="仿宋_GB2312"/>
          <w:b/>
          <w:sz w:val="32"/>
          <w:szCs w:val="32"/>
        </w:rPr>
        <w:t>14.农林水支出（类）水利（款）水质监测（项）。</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年初预算为20万元，支出决算为0万元，完成年初预算的0%。</w:t>
      </w:r>
    </w:p>
    <w:p>
      <w:pPr>
        <w:spacing w:line="360" w:lineRule="auto"/>
        <w:rPr>
          <w:rFonts w:hint="eastAsia" w:ascii="仿宋_GB2312" w:hAnsi="ˎ̥" w:eastAsia="仿宋_GB2312"/>
          <w:b/>
          <w:sz w:val="32"/>
          <w:szCs w:val="32"/>
        </w:rPr>
      </w:pPr>
      <w:r>
        <w:rPr>
          <w:rFonts w:hint="eastAsia" w:ascii="仿宋_GB2312" w:hAnsi="ˎ̥" w:eastAsia="仿宋_GB2312"/>
          <w:b/>
          <w:sz w:val="32"/>
          <w:szCs w:val="32"/>
        </w:rPr>
        <w:t xml:space="preserve">    15.农林水支出（类）水利（款）防汛（项）。</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年初预算为33.82万元，支出决算为33.82万元，完成年初预算的100%。</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16.农林水支出（类）水利（款）农田水利（项）。</w:t>
      </w:r>
    </w:p>
    <w:p>
      <w:pPr>
        <w:pStyle w:val="13"/>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年初预算为365.28万元，支出决算为451.07万元，完成年初预算的123.49%。决算大于预算主要原因是农田水利工程新增项目较多。</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17.农林水支出（类）水利（款）信息管理（项）。</w:t>
      </w:r>
    </w:p>
    <w:p>
      <w:pPr>
        <w:spacing w:line="360" w:lineRule="auto"/>
        <w:ind w:firstLine="627" w:firstLineChars="196"/>
        <w:rPr>
          <w:rFonts w:ascii="仿宋" w:hAnsi="仿宋" w:eastAsia="仿宋" w:cs="仿宋"/>
          <w:color w:val="FF0000"/>
          <w:sz w:val="32"/>
          <w:szCs w:val="32"/>
        </w:rPr>
      </w:pPr>
      <w:r>
        <w:rPr>
          <w:rFonts w:hint="eastAsia" w:ascii="仿宋" w:hAnsi="仿宋" w:eastAsia="仿宋" w:cs="仿宋"/>
          <w:sz w:val="32"/>
          <w:szCs w:val="32"/>
        </w:rPr>
        <w:t>年初预算为9.32万元，支出决算为9.32万元，完成年初预算的100%。</w:t>
      </w:r>
    </w:p>
    <w:p>
      <w:pPr>
        <w:spacing w:line="360" w:lineRule="auto"/>
        <w:rPr>
          <w:rFonts w:hint="eastAsia" w:ascii="仿宋_GB2312" w:hAnsi="ˎ̥" w:eastAsia="仿宋_GB2312"/>
          <w:b/>
          <w:sz w:val="32"/>
          <w:szCs w:val="32"/>
        </w:rPr>
      </w:pPr>
      <w:r>
        <w:rPr>
          <w:rFonts w:hint="eastAsia" w:ascii="仿宋_GB2312" w:hAnsi="ˎ̥" w:eastAsia="仿宋_GB2312"/>
          <w:b/>
          <w:sz w:val="32"/>
          <w:szCs w:val="32"/>
        </w:rPr>
        <w:t xml:space="preserve">    18.农林水支出（类）水利（款）农村人畜饮水（项）。</w:t>
      </w:r>
    </w:p>
    <w:p>
      <w:pPr>
        <w:spacing w:line="360" w:lineRule="auto"/>
        <w:ind w:firstLine="640"/>
        <w:rPr>
          <w:rFonts w:ascii="仿宋" w:hAnsi="仿宋" w:eastAsia="仿宋" w:cs="仿宋"/>
          <w:sz w:val="32"/>
          <w:szCs w:val="32"/>
        </w:rPr>
      </w:pPr>
      <w:r>
        <w:rPr>
          <w:rFonts w:hint="eastAsia" w:ascii="仿宋" w:hAnsi="仿宋" w:eastAsia="仿宋" w:cs="仿宋"/>
          <w:sz w:val="32"/>
          <w:szCs w:val="32"/>
        </w:rPr>
        <w:t>年初预算为296.05万元，支出决算为284.83万元，完成年初预算的100%。</w:t>
      </w:r>
    </w:p>
    <w:p>
      <w:pPr>
        <w:spacing w:line="360" w:lineRule="auto"/>
        <w:ind w:firstLine="640"/>
        <w:rPr>
          <w:rFonts w:hint="eastAsia" w:ascii="仿宋_GB2312" w:hAnsi="ˎ̥" w:eastAsia="仿宋_GB2312"/>
          <w:b/>
          <w:sz w:val="32"/>
          <w:szCs w:val="32"/>
        </w:rPr>
      </w:pPr>
      <w:r>
        <w:rPr>
          <w:rFonts w:hint="eastAsia" w:ascii="仿宋_GB2312" w:hAnsi="ˎ̥" w:eastAsia="仿宋_GB2312"/>
          <w:b/>
          <w:sz w:val="32"/>
          <w:szCs w:val="32"/>
        </w:rPr>
        <w:t>19.农林水支出（类）水利（款）其他水利支出（项）。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年初预算为296.05万元，支出决算为284.83万元，完成年初预算的96.21%。</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20.农林水支出（类）其他农林水支出（款）其他水利支出（项）。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年初预算为200万元，支出决算为200万元，完成年初预算的0%。</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sz w:val="32"/>
          <w:szCs w:val="32"/>
        </w:rPr>
        <w:t>21.住房保障支出（类）住房改革支出（款）住房公积金（项）。</w:t>
      </w:r>
    </w:p>
    <w:p>
      <w:pPr>
        <w:spacing w:line="360" w:lineRule="auto"/>
        <w:ind w:firstLine="627" w:firstLineChars="196"/>
        <w:rPr>
          <w:rFonts w:hint="eastAsia" w:ascii="仿宋_GB2312" w:hAnsi="ˎ̥" w:eastAsia="仿宋_GB2312"/>
          <w:sz w:val="32"/>
          <w:szCs w:val="32"/>
        </w:rPr>
      </w:pPr>
      <w:r>
        <w:rPr>
          <w:rFonts w:hint="eastAsia" w:ascii="仿宋" w:hAnsi="仿宋" w:eastAsia="仿宋" w:cs="仿宋"/>
          <w:sz w:val="32"/>
          <w:szCs w:val="32"/>
        </w:rPr>
        <w:t>年初预算为38.3万元，支出决算为38.3万元，完成年初预算的100%。</w:t>
      </w:r>
    </w:p>
    <w:p>
      <w:pPr>
        <w:spacing w:line="360" w:lineRule="auto"/>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2019年度一般公共预算财政拨款基本支出704.07万元，其中：人员经费667.51万元，主要包括：基本工资、津贴补贴、奖金、社会保障缴费、伙食费、绩效工资、其他工资福利支出等、生活补助、医疗费、奖励金等。公用经费36.56万元，主要包括：办公费、印刷费、手续费、电费、邮电费、差旅费、维修（护）费、培训费、专用材料费、专用燃料费、劳务费、工会经费、福利费、公务用车运行维护费、其他交通费用、其他商品和服务支出、办公设备购置。</w:t>
      </w:r>
    </w:p>
    <w:p>
      <w:pPr>
        <w:tabs>
          <w:tab w:val="center" w:pos="4473"/>
        </w:tabs>
        <w:spacing w:line="360" w:lineRule="auto"/>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七、政府性基金预算财政拨款收入支出决算情况说明</w:t>
      </w:r>
    </w:p>
    <w:p>
      <w:pPr>
        <w:tabs>
          <w:tab w:val="center" w:pos="4473"/>
        </w:tabs>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（一）2019年度政府性基金预算财政拨款收入727.9万元，主要是城乡社区支出增加，较2018年度减少580.54万元，减少了44.37%。主要原因：城乡社区支出减少580.54万元。</w:t>
      </w:r>
    </w:p>
    <w:p>
      <w:pPr>
        <w:tabs>
          <w:tab w:val="center" w:pos="4473"/>
        </w:tabs>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（二）2019年度政府性基金预算财政拨款支出1366.77万元，较2018年度增加751.97万元，增长122.31%。</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（三）2019年度政府性基金预算财政拨款支出年初预算为681万元，支出决算为727.9万元，完成年初预算的106.89%。其中：</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bCs/>
          <w:sz w:val="32"/>
          <w:szCs w:val="32"/>
        </w:rPr>
        <w:t>1.社会保障和就业支出（类）大中型水库移民后期扶持基金支出（款）移民补助（项）。</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年初预算为0万元，支出决算为87.9万元，完成年初预算的87.9%。</w:t>
      </w:r>
    </w:p>
    <w:p>
      <w:pPr>
        <w:spacing w:line="360" w:lineRule="auto"/>
        <w:ind w:firstLine="643" w:firstLineChars="200"/>
        <w:rPr>
          <w:rFonts w:hint="eastAsia" w:ascii="仿宋_GB2312" w:hAnsi="ˎ̥" w:eastAsia="仿宋_GB2312"/>
          <w:sz w:val="32"/>
          <w:szCs w:val="32"/>
        </w:rPr>
      </w:pPr>
      <w:r>
        <w:rPr>
          <w:rFonts w:hint="eastAsia" w:ascii="仿宋_GB2312" w:hAnsi="ˎ̥" w:eastAsia="仿宋_GB2312"/>
          <w:b/>
          <w:bCs/>
          <w:sz w:val="32"/>
          <w:szCs w:val="32"/>
        </w:rPr>
        <w:t>2.社会保障和就业支出（类）大中型水库移民后期扶持基金支出（款）基础设施建设和经济发展（项）。</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年初预算为0万元，支出决算为40万元，完成年初预算的40%。</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bCs/>
          <w:sz w:val="32"/>
          <w:szCs w:val="32"/>
        </w:rPr>
        <w:t>3.城乡社区支出（类）国有土地使用权出让收入及对应专项债务收入安排的支出（款）城市建设支出（项）。</w:t>
      </w:r>
    </w:p>
    <w:p>
      <w:pPr>
        <w:spacing w:line="360" w:lineRule="auto"/>
        <w:ind w:firstLine="640"/>
        <w:rPr>
          <w:rFonts w:hint="eastAsia" w:ascii="仿宋_GB2312" w:hAnsi="ˎ̥" w:eastAsia="仿宋_GB2312"/>
          <w:sz w:val="32"/>
          <w:szCs w:val="32"/>
        </w:rPr>
      </w:pPr>
      <w:r>
        <w:rPr>
          <w:rFonts w:hint="eastAsia" w:ascii="仿宋_GB2312" w:hAnsi="ˎ̥" w:eastAsia="仿宋_GB2312"/>
          <w:sz w:val="32"/>
          <w:szCs w:val="32"/>
        </w:rPr>
        <w:t>年初预算为500万元，支出决算为0万元，完成年初预算的0%。</w:t>
      </w:r>
    </w:p>
    <w:p>
      <w:pPr>
        <w:spacing w:line="360" w:lineRule="auto"/>
        <w:ind w:firstLine="640"/>
        <w:rPr>
          <w:rFonts w:hint="eastAsia" w:ascii="仿宋_GB2312" w:hAnsi="ˎ̥" w:eastAsia="仿宋_GB2312"/>
          <w:b/>
          <w:bCs/>
          <w:sz w:val="32"/>
          <w:szCs w:val="32"/>
        </w:rPr>
      </w:pPr>
      <w:r>
        <w:rPr>
          <w:rFonts w:hint="eastAsia" w:ascii="仿宋_GB2312" w:hAnsi="ˎ̥" w:eastAsia="仿宋_GB2312"/>
          <w:sz w:val="32"/>
          <w:szCs w:val="32"/>
        </w:rPr>
        <w:t>4.</w:t>
      </w:r>
      <w:r>
        <w:rPr>
          <w:rFonts w:hint="eastAsia" w:ascii="仿宋_GB2312" w:hAnsi="ˎ̥" w:eastAsia="仿宋_GB2312"/>
          <w:b/>
          <w:bCs/>
          <w:sz w:val="32"/>
          <w:szCs w:val="32"/>
        </w:rPr>
        <w:t>城乡社区支出（类）国有土地使用权出让收入及对应专项债务收入安排的支出（款）农村基础设施建设支出（项）。</w:t>
      </w:r>
    </w:p>
    <w:p>
      <w:pPr>
        <w:spacing w:line="360" w:lineRule="auto"/>
        <w:rPr>
          <w:rFonts w:hint="eastAsia" w:ascii="仿宋_GB2312" w:hAnsi="ˎ̥" w:eastAsia="仿宋_GB2312"/>
          <w:b/>
          <w:bCs/>
          <w:sz w:val="32"/>
          <w:szCs w:val="32"/>
        </w:rPr>
      </w:pPr>
      <w:r>
        <w:rPr>
          <w:rFonts w:hint="eastAsia" w:ascii="仿宋_GB2312" w:hAnsi="ˎ̥" w:eastAsia="仿宋_GB2312"/>
          <w:sz w:val="32"/>
          <w:szCs w:val="32"/>
        </w:rPr>
        <w:t>年初预算为0万元，支出决算为600万元，完成年初预算的600%。</w:t>
      </w:r>
    </w:p>
    <w:p>
      <w:pPr>
        <w:spacing w:line="360" w:lineRule="auto"/>
        <w:rPr>
          <w:rFonts w:hint="eastAsia" w:ascii="仿宋_GB2312" w:hAnsi="ˎ̥" w:eastAsia="仿宋_GB2312"/>
          <w:b/>
          <w:sz w:val="32"/>
          <w:szCs w:val="32"/>
        </w:rPr>
      </w:pPr>
      <w:r>
        <w:rPr>
          <w:rFonts w:hint="eastAsia" w:ascii="仿宋_GB2312" w:hAnsi="ˎ̥" w:eastAsia="仿宋_GB2312"/>
          <w:b/>
          <w:bCs/>
          <w:sz w:val="32"/>
          <w:szCs w:val="32"/>
        </w:rPr>
        <w:t xml:space="preserve">    5.城乡社区支出（类）国有土地使用权出让收入及对应专项债务收入安排的支出（款）其他国有土地使用权出让收入安排的支出（项）。</w:t>
      </w:r>
    </w:p>
    <w:p>
      <w:pPr>
        <w:spacing w:line="360" w:lineRule="auto"/>
        <w:rPr>
          <w:rFonts w:hint="eastAsia" w:ascii="仿宋_GB2312" w:hAnsi="ˎ̥" w:eastAsia="仿宋_GB2312"/>
          <w:sz w:val="32"/>
          <w:szCs w:val="32"/>
        </w:rPr>
      </w:pPr>
      <w:r>
        <w:rPr>
          <w:rFonts w:hint="eastAsia" w:ascii="仿宋_GB2312" w:hAnsi="ˎ̥" w:eastAsia="仿宋_GB2312"/>
          <w:sz w:val="32"/>
          <w:szCs w:val="32"/>
        </w:rPr>
        <w:t xml:space="preserve">    年初预算为130万元，支出决算为0万元，完成年初预算的0%。</w:t>
      </w:r>
    </w:p>
    <w:p>
      <w:pPr>
        <w:spacing w:line="360" w:lineRule="auto"/>
        <w:ind w:firstLine="643" w:firstLineChars="200"/>
        <w:rPr>
          <w:rFonts w:hint="eastAsia" w:ascii="仿宋_GB2312" w:hAnsi="ˎ̥" w:eastAsia="仿宋_GB2312"/>
          <w:b/>
          <w:sz w:val="32"/>
          <w:szCs w:val="32"/>
        </w:rPr>
      </w:pPr>
      <w:r>
        <w:rPr>
          <w:rFonts w:hint="eastAsia" w:ascii="仿宋_GB2312" w:hAnsi="ˎ̥" w:eastAsia="仿宋_GB2312"/>
          <w:b/>
          <w:bCs/>
          <w:sz w:val="32"/>
          <w:szCs w:val="32"/>
        </w:rPr>
        <w:t>6.城乡社区支出（类）城市基础设施配套费及对应专项债务收入安排的支出（款）城市公共设施（项）。</w:t>
      </w:r>
    </w:p>
    <w:p>
      <w:pPr>
        <w:spacing w:line="360" w:lineRule="auto"/>
        <w:ind w:firstLine="640"/>
        <w:rPr>
          <w:rFonts w:hint="eastAsia" w:ascii="仿宋_GB2312" w:hAnsi="ˎ̥" w:eastAsia="仿宋_GB2312"/>
          <w:sz w:val="32"/>
          <w:szCs w:val="32"/>
        </w:rPr>
      </w:pPr>
      <w:r>
        <w:rPr>
          <w:rFonts w:hint="eastAsia" w:ascii="仿宋_GB2312" w:hAnsi="ˎ̥" w:eastAsia="仿宋_GB2312"/>
          <w:sz w:val="32"/>
          <w:szCs w:val="32"/>
        </w:rPr>
        <w:t>年初预算为51万元，支出决算为0万元，完成年初预算的0%。</w:t>
      </w:r>
    </w:p>
    <w:p>
      <w:pPr>
        <w:spacing w:line="360" w:lineRule="auto"/>
        <w:ind w:firstLine="627" w:firstLineChars="196"/>
        <w:rPr>
          <w:rFonts w:hint="eastAsia" w:ascii="仿宋_GB2312" w:hAnsi="ˎ̥" w:eastAsia="楷体_GB2312"/>
          <w:sz w:val="32"/>
          <w:szCs w:val="32"/>
        </w:rPr>
      </w:pPr>
      <w:r>
        <w:rPr>
          <w:rFonts w:hint="eastAsia" w:ascii="黑体" w:hAnsi="黑体" w:eastAsia="黑体" w:cs="黑体"/>
          <w:bCs/>
          <w:sz w:val="32"/>
          <w:szCs w:val="32"/>
        </w:rPr>
        <w:t>八、一般公共预算财政拨款“三公”经费支出决算情况说明</w:t>
      </w:r>
    </w:p>
    <w:p>
      <w:pPr>
        <w:spacing w:line="360" w:lineRule="auto"/>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2019年度一般公共预算财政拨款“三公”经费支出预算为3.5万元，支出决算为3.47万元，完成预算的99.14%，主要原因：</w:t>
      </w:r>
      <w:r>
        <w:rPr>
          <w:rFonts w:eastAsia="仿宋_GB2312"/>
          <w:sz w:val="32"/>
          <w:szCs w:val="32"/>
        </w:rPr>
        <w:t>一是</w:t>
      </w:r>
      <w:r>
        <w:rPr>
          <w:rFonts w:hint="eastAsia" w:eastAsia="仿宋_GB2312"/>
          <w:sz w:val="32"/>
          <w:szCs w:val="32"/>
        </w:rPr>
        <w:t>严格公务用车管理，杜绝公车私用；</w:t>
      </w:r>
      <w:r>
        <w:rPr>
          <w:rFonts w:eastAsia="仿宋_GB2312"/>
          <w:sz w:val="32"/>
          <w:szCs w:val="32"/>
        </w:rPr>
        <w:t>二是贯彻落实</w:t>
      </w:r>
      <w:r>
        <w:rPr>
          <w:rFonts w:hint="eastAsia" w:eastAsia="仿宋_GB2312"/>
          <w:sz w:val="32"/>
          <w:szCs w:val="32"/>
        </w:rPr>
        <w:t>“</w:t>
      </w:r>
      <w:r>
        <w:rPr>
          <w:rFonts w:eastAsia="仿宋_GB2312"/>
          <w:sz w:val="32"/>
          <w:szCs w:val="32"/>
        </w:rPr>
        <w:t>八项规定</w:t>
      </w:r>
      <w:r>
        <w:rPr>
          <w:rFonts w:hint="eastAsia" w:eastAsia="仿宋_GB2312"/>
          <w:sz w:val="32"/>
          <w:szCs w:val="32"/>
        </w:rPr>
        <w:t>”</w:t>
      </w:r>
      <w:r>
        <w:rPr>
          <w:rFonts w:eastAsia="仿宋_GB2312"/>
          <w:sz w:val="32"/>
          <w:szCs w:val="32"/>
        </w:rPr>
        <w:t>和</w:t>
      </w:r>
      <w:r>
        <w:rPr>
          <w:rFonts w:hint="eastAsia" w:eastAsia="仿宋_GB2312"/>
          <w:sz w:val="32"/>
          <w:szCs w:val="32"/>
        </w:rPr>
        <w:t>区</w:t>
      </w:r>
      <w:r>
        <w:rPr>
          <w:rFonts w:eastAsia="仿宋_GB2312"/>
          <w:sz w:val="32"/>
          <w:szCs w:val="32"/>
        </w:rPr>
        <w:t>委</w:t>
      </w:r>
      <w:r>
        <w:rPr>
          <w:rFonts w:hint="eastAsia" w:eastAsia="仿宋_GB2312"/>
          <w:sz w:val="32"/>
          <w:szCs w:val="32"/>
        </w:rPr>
        <w:t>区</w:t>
      </w:r>
      <w:r>
        <w:rPr>
          <w:rFonts w:eastAsia="仿宋_GB2312"/>
          <w:sz w:val="32"/>
          <w:szCs w:val="32"/>
        </w:rPr>
        <w:t>政府</w:t>
      </w:r>
      <w:r>
        <w:rPr>
          <w:rFonts w:hint="eastAsia" w:eastAsia="仿宋_GB2312"/>
          <w:sz w:val="32"/>
          <w:szCs w:val="32"/>
        </w:rPr>
        <w:t>有关要求</w:t>
      </w:r>
      <w:r>
        <w:rPr>
          <w:rFonts w:eastAsia="仿宋_GB2312"/>
          <w:sz w:val="32"/>
          <w:szCs w:val="32"/>
        </w:rPr>
        <w:t>，厉行</w:t>
      </w:r>
      <w:r>
        <w:rPr>
          <w:rFonts w:hint="eastAsia" w:eastAsia="仿宋_GB2312"/>
          <w:sz w:val="32"/>
          <w:szCs w:val="32"/>
        </w:rPr>
        <w:t>勤俭</w:t>
      </w:r>
      <w:r>
        <w:rPr>
          <w:rFonts w:eastAsia="仿宋_GB2312"/>
          <w:sz w:val="32"/>
          <w:szCs w:val="32"/>
        </w:rPr>
        <w:t>节约</w:t>
      </w:r>
      <w:r>
        <w:rPr>
          <w:rFonts w:hint="eastAsia" w:eastAsia="仿宋_GB2312"/>
          <w:sz w:val="32"/>
          <w:szCs w:val="32"/>
        </w:rPr>
        <w:t>。</w:t>
      </w:r>
    </w:p>
    <w:p>
      <w:pPr>
        <w:spacing w:line="360" w:lineRule="auto"/>
        <w:rPr>
          <w:rFonts w:ascii="楷体" w:hAnsi="楷体" w:eastAsia="楷体" w:cs="楷体"/>
          <w:b/>
          <w:bCs/>
          <w:sz w:val="32"/>
          <w:szCs w:val="32"/>
        </w:rPr>
      </w:pPr>
      <w:r>
        <w:rPr>
          <w:rFonts w:hint="eastAsia" w:ascii="楷体" w:hAnsi="楷体" w:eastAsia="楷体" w:cs="楷体"/>
          <w:b/>
          <w:bCs/>
          <w:sz w:val="32"/>
          <w:szCs w:val="32"/>
        </w:rPr>
        <w:t xml:space="preserve">    （二）一般公共预算“三公”经费财政拨款支出决算具体情况说明。</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2019年度一般公共预算财政拨款“三公”经费支出决算中，公务用车购置及运行费支出决算3.47万元，占100%。具体情况如下：</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公务用车购置及运行费支出3.47万元。其中：公务用车运行维护费支出3.47万元，主要用于车辆日常运行维修保养及油料购置。</w:t>
      </w:r>
    </w:p>
    <w:p>
      <w:pPr>
        <w:spacing w:line="360" w:lineRule="auto"/>
        <w:ind w:firstLine="640"/>
        <w:rPr>
          <w:rFonts w:hint="eastAsia" w:ascii="仿宋_GB2312" w:hAnsi="ˎ̥" w:eastAsia="仿宋_GB2312"/>
          <w:sz w:val="32"/>
          <w:szCs w:val="32"/>
        </w:rPr>
      </w:pPr>
      <w:r>
        <w:rPr>
          <w:rFonts w:hint="eastAsia" w:ascii="仿宋_GB2312" w:hAnsi="ˎ̥" w:eastAsia="仿宋_GB2312"/>
          <w:sz w:val="32"/>
          <w:szCs w:val="32"/>
        </w:rPr>
        <w:t>公务用车购置及运行费支出决算比2018年度增加1.37万元，增加39.48%。主要原因是下乡次数增加。</w:t>
      </w:r>
    </w:p>
    <w:p>
      <w:pPr>
        <w:spacing w:line="360" w:lineRule="auto"/>
        <w:ind w:firstLine="627" w:firstLineChars="196"/>
        <w:rPr>
          <w:rFonts w:hint="eastAsia" w:ascii="仿宋_GB2312" w:hAnsi="ˎ̥" w:eastAsia="楷体_GB2312"/>
          <w:sz w:val="32"/>
          <w:szCs w:val="32"/>
        </w:rPr>
      </w:pPr>
      <w:r>
        <w:rPr>
          <w:rFonts w:hint="eastAsia" w:ascii="黑体" w:hAnsi="黑体" w:eastAsia="黑体" w:cs="黑体"/>
          <w:bCs/>
          <w:sz w:val="32"/>
          <w:szCs w:val="32"/>
        </w:rPr>
        <w:t>九、政府性基金预算财政拨款“三公”经费支出决算情况说明</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（一）.因公出国（境）费支出0.00万元。全年安排因公出国（境）团组0个，因公出国（境）0人次。</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 （</w:t>
      </w:r>
      <w:r>
        <w:rPr>
          <w:rFonts w:hint="eastAsia" w:ascii="仿宋_GB2312" w:hAnsi="ˎ̥" w:eastAsia="仿宋_GB2312"/>
          <w:sz w:val="32"/>
          <w:szCs w:val="32"/>
          <w:lang w:eastAsia="zh-CN"/>
        </w:rPr>
        <w:t>二</w:t>
      </w:r>
      <w:r>
        <w:rPr>
          <w:rFonts w:hint="eastAsia" w:ascii="仿宋_GB2312" w:hAnsi="ˎ̥" w:eastAsia="仿宋_GB2312"/>
          <w:sz w:val="32"/>
          <w:szCs w:val="32"/>
        </w:rPr>
        <w:t>）.公务用车购置及运行费支出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公务用车购置支出0.00万元，全年购置公务用车0辆，年末公务</w:t>
      </w:r>
      <w:bookmarkStart w:id="93" w:name="_GoBack"/>
      <w:bookmarkEnd w:id="93"/>
      <w:r>
        <w:rPr>
          <w:rFonts w:hint="eastAsia" w:ascii="仿宋_GB2312" w:hAnsi="ˎ̥" w:eastAsia="仿宋_GB2312"/>
          <w:sz w:val="32"/>
          <w:szCs w:val="32"/>
        </w:rPr>
        <w:t>用车保有量</w:t>
      </w:r>
      <w:r>
        <w:rPr>
          <w:rFonts w:hint="eastAsia" w:ascii="仿宋_GB2312" w:hAnsi="ˎ̥" w:eastAsia="仿宋_GB2312"/>
          <w:sz w:val="32"/>
          <w:szCs w:val="32"/>
          <w:lang w:val="en-US" w:eastAsia="zh-CN"/>
        </w:rPr>
        <w:t>0</w:t>
      </w:r>
      <w:r>
        <w:rPr>
          <w:rFonts w:hint="eastAsia" w:ascii="仿宋_GB2312" w:hAnsi="ˎ̥" w:eastAsia="仿宋_GB2312"/>
          <w:sz w:val="32"/>
          <w:szCs w:val="32"/>
        </w:rPr>
        <w:t>辆。</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公务用车运行维护费支出</w:t>
      </w:r>
      <w:r>
        <w:rPr>
          <w:rFonts w:hint="eastAsia" w:ascii="仿宋_GB2312" w:hAnsi="ˎ̥" w:eastAsia="仿宋_GB2312"/>
          <w:sz w:val="32"/>
          <w:szCs w:val="32"/>
        </w:rPr>
        <w:t>3.47万元，主要用于公务用车及日常油料消耗及维修保养费用。</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公务用车购置及运行费支出决算比2018年度增加1.37万元，增加39.48%。主要原因是下乡次数增加。</w:t>
      </w:r>
    </w:p>
    <w:p>
      <w:pPr>
        <w:spacing w:line="360" w:lineRule="auto"/>
        <w:ind w:firstLine="960" w:firstLineChars="300"/>
        <w:rPr>
          <w:rFonts w:hint="eastAsia" w:ascii="仿宋_GB2312" w:hAnsi="ˎ̥" w:eastAsia="仿宋_GB2312"/>
          <w:sz w:val="32"/>
          <w:szCs w:val="32"/>
        </w:rPr>
      </w:pPr>
      <w:r>
        <w:rPr>
          <w:rFonts w:hint="eastAsia" w:ascii="仿宋_GB2312" w:hAnsi="ˎ̥" w:eastAsia="仿宋_GB2312"/>
          <w:sz w:val="32"/>
          <w:szCs w:val="32"/>
        </w:rPr>
        <w:t>（</w:t>
      </w:r>
      <w:r>
        <w:rPr>
          <w:rFonts w:hint="eastAsia" w:ascii="仿宋_GB2312" w:hAnsi="ˎ̥" w:eastAsia="仿宋_GB2312"/>
          <w:sz w:val="32"/>
          <w:szCs w:val="32"/>
          <w:lang w:eastAsia="zh-CN"/>
        </w:rPr>
        <w:t>三</w:t>
      </w:r>
      <w:r>
        <w:rPr>
          <w:rFonts w:hint="eastAsia" w:ascii="仿宋_GB2312" w:hAnsi="ˎ̥" w:eastAsia="仿宋_GB2312"/>
          <w:sz w:val="32"/>
          <w:szCs w:val="32"/>
        </w:rPr>
        <w:t>）.公务接待费支出0万元，其中：</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公务接待费支出决算比201</w:t>
      </w:r>
      <w:r>
        <w:rPr>
          <w:rFonts w:hint="eastAsia" w:ascii="仿宋_GB2312" w:hAnsi="ˎ̥" w:eastAsia="仿宋_GB2312"/>
          <w:sz w:val="32"/>
          <w:szCs w:val="32"/>
          <w:lang w:val="en-US" w:eastAsia="zh-CN"/>
        </w:rPr>
        <w:t>8</w:t>
      </w:r>
      <w:r>
        <w:rPr>
          <w:rFonts w:hint="eastAsia" w:ascii="仿宋_GB2312" w:hAnsi="ˎ̥" w:eastAsia="仿宋_GB2312"/>
          <w:sz w:val="32"/>
          <w:szCs w:val="32"/>
        </w:rPr>
        <w:t>年度增加（减少）0万元，增长（下降）0%。</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国内接待费支出0万元，国内公务接待0批次，接待0人次。</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国（境）外接待费支出0万元，国（境）外公务接待0批次，接待0人次。 </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十、预算绩效情况说明。</w:t>
      </w:r>
    </w:p>
    <w:p>
      <w:pPr>
        <w:spacing w:line="360" w:lineRule="auto"/>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根据财政预算管理要求，美兰区水务局组织对2019年度一般公共预算项目支出开展了绩效自评。自评项目5个，共涉及资金9392.15万元，自评覆盖率达到100%。</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美兰区水务局共组织对“2019年水体环境综合治理（美财农[2019]73号）、2019年水体水环境综合治理（美财农[2019]48号）、2019年水体水环境综合治理（美财农[2019]116号）、海口市农村饮水安全提质增效工程（美财基[2019]71号）、2019年水体水环境综合治理经费（美财农[2019]123号）”等5个项目进行了重点绩效评价，涉及资金9392.15万元。从评价情况来看，</w:t>
      </w:r>
      <w:r>
        <w:rPr>
          <w:rFonts w:eastAsia="仿宋_GB2312"/>
          <w:sz w:val="32"/>
          <w:szCs w:val="32"/>
        </w:rPr>
        <w:t>项目建设能够按照计划执行，项目预算经费基本能够满足需求，</w:t>
      </w:r>
      <w:r>
        <w:rPr>
          <w:rFonts w:hint="eastAsia" w:ascii="仿宋_GB2312" w:eastAsia="仿宋_GB2312"/>
          <w:sz w:val="32"/>
          <w:szCs w:val="32"/>
        </w:rPr>
        <w:t>项目</w:t>
      </w:r>
      <w:r>
        <w:rPr>
          <w:rFonts w:eastAsia="仿宋_GB2312"/>
          <w:sz w:val="32"/>
          <w:szCs w:val="32"/>
        </w:rPr>
        <w:t>建设成果能够达到预定目标，产生较好的经济效益和公共服务效能，项目整体评价结果</w:t>
      </w:r>
      <w:r>
        <w:rPr>
          <w:rFonts w:hint="eastAsia" w:eastAsia="仿宋_GB2312"/>
          <w:sz w:val="32"/>
          <w:szCs w:val="32"/>
        </w:rPr>
        <w:t>均</w:t>
      </w:r>
      <w:r>
        <w:rPr>
          <w:rFonts w:eastAsia="仿宋_GB2312"/>
          <w:sz w:val="32"/>
          <w:szCs w:val="32"/>
        </w:rPr>
        <w:t>为优秀。</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美兰区水务局开展整体支出绩效评价，涉及资金9652.23万元。2019年8月25日至9月22日，海口普信和会计师事务所受美兰区财政局委托于对我局2019年度部门整体支出绩效进行评价，最终评价分数为83.73分，绩效评价结果良好。从资金的投入、过程、产出和效果这四个方面评价情况来看，我局职责明确、预算执行良好、预算管理良好、资产管理较为合理、项目质量达标率较高。</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十一、其他重要事项情况说明。</w:t>
      </w:r>
    </w:p>
    <w:p>
      <w:pPr>
        <w:spacing w:line="360" w:lineRule="auto"/>
        <w:ind w:firstLine="643" w:firstLineChars="200"/>
        <w:rPr>
          <w:rFonts w:ascii="楷体" w:hAnsi="楷体" w:eastAsia="楷体" w:cs="楷体"/>
          <w:b/>
          <w:sz w:val="32"/>
          <w:szCs w:val="32"/>
        </w:rPr>
      </w:pPr>
      <w:bookmarkStart w:id="69" w:name="_Toc15565_WPSOffice_Level2"/>
      <w:bookmarkStart w:id="70" w:name="_Toc23598_WPSOffice_Level2"/>
      <w:bookmarkStart w:id="71" w:name="_Toc5978_WPSOffice_Level2"/>
      <w:bookmarkStart w:id="72" w:name="_Toc18325_WPSOffice_Level2"/>
      <w:bookmarkStart w:id="73" w:name="_Toc32639_WPSOffice_Level2"/>
      <w:bookmarkStart w:id="74" w:name="_Toc15262_WPSOffice_Level2"/>
      <w:r>
        <w:rPr>
          <w:rFonts w:hint="eastAsia" w:ascii="楷体" w:hAnsi="楷体" w:eastAsia="楷体" w:cs="楷体"/>
          <w:b/>
          <w:sz w:val="32"/>
          <w:szCs w:val="32"/>
        </w:rPr>
        <w:t>（一）机关运行经费支出情况。</w:t>
      </w:r>
      <w:bookmarkEnd w:id="69"/>
      <w:bookmarkEnd w:id="70"/>
      <w:bookmarkEnd w:id="71"/>
      <w:bookmarkEnd w:id="72"/>
      <w:bookmarkEnd w:id="73"/>
      <w:bookmarkEnd w:id="74"/>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2019年度水务局机关运行经费14.65万元（为部门决算中行政单位和参公事业单位使用一般公共预算财政拨款安排的基本支出中的日常公用经费支出），比2018年度减少4.4万元，增长23.10%。主要原因是：培训费、邮电费及办公水电费用增加。</w:t>
      </w:r>
    </w:p>
    <w:p>
      <w:pPr>
        <w:spacing w:line="360" w:lineRule="auto"/>
        <w:ind w:firstLine="643" w:firstLineChars="200"/>
        <w:rPr>
          <w:rFonts w:ascii="楷体" w:hAnsi="楷体" w:eastAsia="楷体" w:cs="楷体"/>
          <w:b/>
          <w:sz w:val="32"/>
          <w:szCs w:val="32"/>
        </w:rPr>
      </w:pPr>
      <w:bookmarkStart w:id="75" w:name="_Toc30383_WPSOffice_Level2"/>
      <w:bookmarkStart w:id="76" w:name="_Toc25333_WPSOffice_Level2"/>
      <w:bookmarkStart w:id="77" w:name="_Toc13084_WPSOffice_Level2"/>
      <w:bookmarkStart w:id="78" w:name="_Toc3131_WPSOffice_Level2"/>
      <w:bookmarkStart w:id="79" w:name="_Toc23966_WPSOffice_Level2"/>
      <w:bookmarkStart w:id="80" w:name="_Toc32689_WPSOffice_Level2"/>
      <w:r>
        <w:rPr>
          <w:rFonts w:hint="eastAsia" w:ascii="楷体" w:hAnsi="楷体" w:eastAsia="楷体" w:cs="楷体"/>
          <w:b/>
          <w:sz w:val="32"/>
          <w:szCs w:val="32"/>
        </w:rPr>
        <w:t>（二）政府采购支出情况。</w:t>
      </w:r>
      <w:bookmarkEnd w:id="75"/>
      <w:bookmarkEnd w:id="76"/>
      <w:bookmarkEnd w:id="77"/>
      <w:bookmarkEnd w:id="78"/>
      <w:bookmarkEnd w:id="79"/>
      <w:bookmarkEnd w:id="80"/>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2019年度水务局政府采购支出总额142万元，其中：政府采购服务支出142万元。</w:t>
      </w:r>
    </w:p>
    <w:p>
      <w:pPr>
        <w:spacing w:line="360" w:lineRule="auto"/>
        <w:ind w:firstLine="643" w:firstLineChars="200"/>
        <w:rPr>
          <w:rFonts w:ascii="楷体" w:hAnsi="楷体" w:eastAsia="楷体" w:cs="楷体"/>
          <w:b/>
          <w:sz w:val="32"/>
          <w:szCs w:val="32"/>
        </w:rPr>
      </w:pPr>
      <w:bookmarkStart w:id="81" w:name="_Toc6016_WPSOffice_Level2"/>
      <w:bookmarkStart w:id="82" w:name="_Toc19989_WPSOffice_Level2"/>
      <w:bookmarkStart w:id="83" w:name="_Toc29584_WPSOffice_Level2"/>
      <w:bookmarkStart w:id="84" w:name="_Toc527_WPSOffice_Level2"/>
      <w:bookmarkStart w:id="85" w:name="_Toc10902_WPSOffice_Level2"/>
      <w:bookmarkStart w:id="86" w:name="_Toc15129_WPSOffice_Level2"/>
      <w:r>
        <w:rPr>
          <w:rFonts w:hint="eastAsia" w:ascii="楷体" w:hAnsi="楷体" w:eastAsia="楷体" w:cs="楷体"/>
          <w:b/>
          <w:sz w:val="32"/>
          <w:szCs w:val="32"/>
        </w:rPr>
        <w:t>（三）国有资产占用情况。</w:t>
      </w:r>
      <w:bookmarkEnd w:id="81"/>
      <w:bookmarkEnd w:id="82"/>
      <w:bookmarkEnd w:id="83"/>
      <w:bookmarkEnd w:id="84"/>
      <w:bookmarkEnd w:id="85"/>
      <w:bookmarkEnd w:id="86"/>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截至2019年度12月31日，本部门共有车5辆，其中，一般公务用车5辆；单位价值50万元以上通用设备0台（套），单价100万元以上专用设备0台（套）。</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本部门占用房屋面积381平方米，其中：办公用房291平方米，其他（不含构筑物）90平方米。</w:t>
      </w:r>
    </w:p>
    <w:p>
      <w:pPr>
        <w:spacing w:line="360" w:lineRule="auto"/>
        <w:ind w:firstLine="640" w:firstLineChars="200"/>
        <w:rPr>
          <w:rFonts w:hint="eastAsia" w:ascii="仿宋_GB2312" w:hAnsi="ˎ̥" w:eastAsia="仿宋_GB2312"/>
          <w:sz w:val="32"/>
          <w:szCs w:val="32"/>
        </w:rPr>
      </w:pPr>
    </w:p>
    <w:p>
      <w:pPr>
        <w:spacing w:line="360" w:lineRule="auto"/>
        <w:jc w:val="center"/>
        <w:rPr>
          <w:rFonts w:hint="eastAsia" w:ascii="黑体" w:hAnsi="ˎ̥" w:eastAsia="黑体"/>
          <w:sz w:val="32"/>
          <w:szCs w:val="32"/>
        </w:rPr>
      </w:pPr>
      <w:bookmarkStart w:id="87" w:name="_Toc8874_WPSOffice_Level1"/>
      <w:bookmarkStart w:id="88" w:name="_Toc15425_WPSOffice_Level1"/>
      <w:bookmarkStart w:id="89" w:name="_Toc4398_WPSOffice_Level1"/>
      <w:bookmarkStart w:id="90" w:name="_Toc11039_WPSOffice_Level1"/>
      <w:bookmarkStart w:id="91" w:name="_Toc8808_WPSOffice_Level1"/>
      <w:bookmarkStart w:id="92" w:name="_Toc17580_WPSOffice_Level1"/>
      <w:r>
        <w:rPr>
          <w:rFonts w:hint="eastAsia" w:ascii="黑体" w:hAnsi="ˎ̥" w:eastAsia="黑体"/>
          <w:sz w:val="32"/>
          <w:szCs w:val="32"/>
        </w:rPr>
        <w:t>第四部分  名词解释</w:t>
      </w:r>
      <w:bookmarkEnd w:id="87"/>
      <w:bookmarkEnd w:id="88"/>
      <w:bookmarkEnd w:id="89"/>
      <w:bookmarkEnd w:id="90"/>
      <w:bookmarkEnd w:id="91"/>
      <w:bookmarkEnd w:id="92"/>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三、其他收入：指除上述“财政拨款收入”“事业收入”“经营收入”等以外的收入。</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四、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五、年初结转和结余：指以前年度尚未完成、结转到本年按有关规定继续使用的资金。</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六、结余分配：指事业单位按规定提取的职工福利基金、事业基金和缴纳的所得税，以及建设单位按规定应交回的基本建设竣工项目结余资金。</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七、年末结转和结余：指本年度或以前年度预算安排、因客观条件发生变化无法按原计划实施，需要延迟到以后年度按有关规定继续使用的资金。</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八、基本支出：指为保障机构正常运转、完成日常工作任务而发生的人员支出和公用支出。</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九、项目支出：指在基本支出之外为完成特定行政任务和事业发展目标所发生的支出。</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十、“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十二、支出功能分类的名词解释</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（1）一般公共服务支出（类）组织事务（款）其他组织事务支出（项）。反映除上诉项目以外其他用于中国共产党组织部门的事务支出。</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（2）社会保障和就业支出（类）行政事业单位离退休（款）机关事业单位基本养老保险缴费支出（项）。反映机关事业单位实施养老保险制度由单位缴纳的基本养老保险费支出。</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3）医疗卫生与计划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4）医疗卫生与计划支出（类）行政事业单位医疗（款）事业单位医疗（项）。反映财政部门集中安排的事业单位基本医疗保险缴费经费，未参加医疗保险的事业单位的公费医疗经费，按国家规定享受离休人员待遇的医疗经费。</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（5）医疗卫生与计划生育支出（类）行政事业单位医疗（款）公务员医疗补助（项）。反映财政部门安排的公务员医疗补助经费。</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（6）节能环保支出（类）污染防治（款）水体（项）。反映政府在排水、污水处理、水污染防治、湖库生态环境保护、水源地保护、国土江河综合整治、河流治理与保护、地下水修复与保护等方面支出。</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（7）城乡社区支出（类）城乡社区管理事务（款）其他城乡社区管理事务支出（项）。反映除上诉项目以外其他用于城乡社区管理事务方面的支出。</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 xml:space="preserve">（8）一般公共服务（类）财政事务（款）行政运行（项）。反映行政单位（包括实行公务员城乡社区管理的事业单位）的基本支出。 </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（9）农林水支出（类）水利（款）水利行业业务管理（项）。</w:t>
      </w:r>
    </w:p>
    <w:p>
      <w:pPr>
        <w:widowControl w:val="0"/>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widowControl w:val="0"/>
        <w:numPr>
          <w:ilvl w:val="0"/>
          <w:numId w:val="5"/>
        </w:numPr>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农林水支出（类）水利（款）水利工程运行与维护（项）。反映水利系统用于江、河、湖、滩等治理工程运行与维护方面的支出，以及纳入预算管理的水利工程管理单位的支出。</w:t>
      </w:r>
    </w:p>
    <w:p>
      <w:pPr>
        <w:widowControl w:val="0"/>
        <w:numPr>
          <w:ilvl w:val="0"/>
          <w:numId w:val="5"/>
        </w:numPr>
        <w:adjustRightInd/>
        <w:snapToGrid/>
        <w:spacing w:line="360" w:lineRule="auto"/>
        <w:ind w:firstLine="640" w:firstLineChars="200"/>
        <w:rPr>
          <w:rFonts w:hint="eastAsia" w:ascii="仿宋_GB2312" w:hAnsi="ˎ̥" w:eastAsia="仿宋_GB2312"/>
          <w:sz w:val="32"/>
          <w:szCs w:val="32"/>
        </w:rPr>
      </w:pPr>
      <w:r>
        <w:rPr>
          <w:rFonts w:hint="eastAsia" w:ascii="仿宋" w:hAnsi="仿宋" w:eastAsia="仿宋" w:cs="仿宋"/>
          <w:sz w:val="32"/>
          <w:szCs w:val="32"/>
        </w:rPr>
        <w:t>农林水支出（类）水利（款）水利执法监督（项）。反映水利系统纳入预算管理的事业单位开展水利执法监督活动的支出。</w:t>
      </w:r>
    </w:p>
    <w:p>
      <w:pPr>
        <w:widowControl w:val="0"/>
        <w:numPr>
          <w:ilvl w:val="0"/>
          <w:numId w:val="5"/>
        </w:numPr>
        <w:adjustRightInd/>
        <w:snapToGrid/>
        <w:spacing w:line="360" w:lineRule="auto"/>
        <w:ind w:firstLine="640" w:firstLineChars="200"/>
        <w:rPr>
          <w:rFonts w:hint="eastAsia" w:ascii="仿宋_GB2312" w:hAnsi="ˎ̥" w:eastAsia="仿宋_GB2312"/>
          <w:sz w:val="32"/>
          <w:szCs w:val="32"/>
        </w:rPr>
      </w:pPr>
      <w:r>
        <w:rPr>
          <w:rFonts w:hint="eastAsia" w:ascii="仿宋" w:hAnsi="仿宋" w:eastAsia="仿宋" w:cs="仿宋"/>
          <w:sz w:val="32"/>
          <w:szCs w:val="32"/>
        </w:rPr>
        <w:t>农林水支出（类）水利（款）水资源节约管理与保护（项）。</w:t>
      </w:r>
      <w:r>
        <w:rPr>
          <w:rFonts w:hint="eastAsia" w:ascii="仿宋_GB2312" w:hAnsi="ˎ̥" w:eastAsia="仿宋_GB2312"/>
          <w:sz w:val="32"/>
          <w:szCs w:val="32"/>
        </w:rPr>
        <w:t>反映水利系统纳入预算管理的水资源管理与保护事业单位的支出。有关事项包括进行水资源调查评价和水资源规划，水量分配方案、节水以及相关标准的制订及监督实施，组织实施流域或跨流域水资源调度，水功能区监督管理，取水许可、江河湖库及水源地保护监管，水资源公报发布，基础资料整编，水量调度，节约用水，设备仪器运行维护，入河排污口监督管理、审定水域纳污能力和限制排污控制，水资源论证，地下水资源管理，超采区治理和保护，用水定额管理，水务管理和各项保护管理等。</w:t>
      </w:r>
    </w:p>
    <w:p>
      <w:pPr>
        <w:widowControl w:val="0"/>
        <w:numPr>
          <w:ilvl w:val="0"/>
          <w:numId w:val="5"/>
        </w:numPr>
        <w:adjustRightInd/>
        <w:snapToGrid/>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农林水支出（类）水利（款）防汛（项）。反映防汛业务支出。有关事项包括防汛物资购置管护，防汛通信设施设备、网络系统、车船设备运行维护，防汛值班、水情报汛、防汛指挥系统运行维护、水毁修复依据防汛组织（如防汛预案编制、检查、演习、宣传、会议等），汛期调用民工及劳动保护，水利设施灾后重建，退田还湖，蓄滞洪区补偿、水情、雨情、决策支持，防汛视频会商，应急度汛，山洪灾害防治等。</w:t>
      </w:r>
    </w:p>
    <w:p>
      <w:pPr>
        <w:widowControl w:val="0"/>
        <w:numPr>
          <w:ilvl w:val="0"/>
          <w:numId w:val="5"/>
        </w:numPr>
        <w:adjustRightInd/>
        <w:snapToGrid/>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农林水支出（类）水利（款）农田水利（项）。反映国家对农田水利和打井、集雨设施、节水灌溉等水利设施的补助，小型水库除险补助以及排灌站、小水电站补助等。</w:t>
      </w:r>
    </w:p>
    <w:p>
      <w:pPr>
        <w:widowControl w:val="0"/>
        <w:numPr>
          <w:ilvl w:val="0"/>
          <w:numId w:val="5"/>
        </w:numPr>
        <w:adjustRightInd/>
        <w:snapToGrid/>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农林水支出（类）水利（款）大中型水库移民后期扶持专项支出（项）。反映中央财政划转大中型水库移民后期扶持基金的支出，包括对销量电量加价部分征收的增值税返还以及用于解决水库移民遗留问题的定额补助。</w:t>
      </w:r>
    </w:p>
    <w:p>
      <w:pPr>
        <w:widowControl w:val="0"/>
        <w:numPr>
          <w:ilvl w:val="0"/>
          <w:numId w:val="5"/>
        </w:numPr>
        <w:adjustRightInd/>
        <w:snapToGrid/>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农林水支出（类）水利（款）信息管理（项）。反映水利系统纳入预算管理的信息管理事业单位支出。有关事项包括业务信息数据的收集、整理、分析、保存以及信息管理系统的建设、维护等。</w:t>
      </w:r>
    </w:p>
    <w:p>
      <w:pPr>
        <w:widowControl w:val="0"/>
        <w:numPr>
          <w:ilvl w:val="0"/>
          <w:numId w:val="5"/>
        </w:numPr>
        <w:adjustRightInd/>
        <w:snapToGrid/>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农林水支出（类）水利（款）农村人畜饮水（项）。反映用于农村人畜饮水工程建设等方面的支出。</w:t>
      </w:r>
    </w:p>
    <w:p>
      <w:pPr>
        <w:widowControl w:val="0"/>
        <w:numPr>
          <w:ilvl w:val="0"/>
          <w:numId w:val="5"/>
        </w:numPr>
        <w:adjustRightInd/>
        <w:snapToGrid/>
        <w:spacing w:line="360" w:lineRule="auto"/>
        <w:ind w:firstLine="640" w:firstLineChars="200"/>
        <w:rPr>
          <w:rFonts w:hint="eastAsia" w:ascii="仿宋_GB2312" w:hAnsi="ˎ̥" w:eastAsia="仿宋_GB2312"/>
          <w:sz w:val="32"/>
          <w:szCs w:val="32"/>
        </w:rPr>
      </w:pPr>
      <w:r>
        <w:rPr>
          <w:rFonts w:hint="eastAsia" w:ascii="仿宋" w:hAnsi="仿宋" w:eastAsia="仿宋" w:cs="仿宋"/>
          <w:sz w:val="32"/>
          <w:szCs w:val="32"/>
        </w:rPr>
        <w:t>农林水支出（类）水利（款）其他水利支出（项）。反映除上述项目以外其他用于水利方面的支出。</w:t>
      </w:r>
    </w:p>
    <w:p>
      <w:pPr>
        <w:widowControl w:val="0"/>
        <w:numPr>
          <w:ilvl w:val="0"/>
          <w:numId w:val="5"/>
        </w:numPr>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住房保障支出（类）住房改革支出（款）住房公积金（项）。反映行政事业单位按人力资源和社会保障部、财政部规定的基本工资和津贴补贴以及规定比例为职工缴纳的住房公积金。</w:t>
      </w:r>
    </w:p>
    <w:p>
      <w:pPr>
        <w:widowControl w:val="0"/>
        <w:numPr>
          <w:ilvl w:val="0"/>
          <w:numId w:val="5"/>
        </w:numPr>
        <w:adjustRightInd/>
        <w:snapToGrid/>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住房保障支出（类）住房改革支出（款）购房补贴（项）。反映按房改政策规定，行政事业单位向符合条件职工（含离退休人员）、军队（含武警）向转役复员离退休人员发放的用于购买住房的补贴。</w:t>
      </w:r>
    </w:p>
    <w:p>
      <w:pPr>
        <w:spacing w:before="100" w:beforeAutospacing="1" w:after="100" w:afterAutospacing="1" w:line="360" w:lineRule="auto"/>
        <w:jc w:val="both"/>
        <w:rPr>
          <w:rFonts w:hint="eastAsia" w:ascii="仿宋_GB2312" w:hAnsi="ˎ̥" w:eastAsia="仿宋_GB2312"/>
          <w:sz w:val="32"/>
          <w:szCs w:val="32"/>
        </w:rPr>
      </w:pPr>
    </w:p>
    <w:p>
      <w:pPr>
        <w:spacing w:before="100" w:beforeAutospacing="1" w:after="100" w:afterAutospacing="1" w:line="360" w:lineRule="auto"/>
        <w:jc w:val="both"/>
        <w:rPr>
          <w:rFonts w:hint="eastAsia" w:ascii="仿宋_GB2312" w:hAnsi="ˎ̥" w:eastAsia="仿宋_GB2312"/>
          <w:sz w:val="32"/>
          <w:szCs w:val="32"/>
        </w:rPr>
      </w:pPr>
    </w:p>
    <w:p>
      <w:pPr>
        <w:spacing w:before="100" w:beforeAutospacing="1" w:after="100" w:afterAutospacing="1"/>
        <w:ind w:firstLine="440" w:firstLineChars="200"/>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ˎ̥">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8B81A"/>
    <w:multiLevelType w:val="singleLevel"/>
    <w:tmpl w:val="9A78B81A"/>
    <w:lvl w:ilvl="0" w:tentative="0">
      <w:start w:val="1"/>
      <w:numFmt w:val="chineseCounting"/>
      <w:suff w:val="space"/>
      <w:lvlText w:val="第%1部分"/>
      <w:lvlJc w:val="left"/>
      <w:rPr>
        <w:rFonts w:hint="eastAsia"/>
      </w:rPr>
    </w:lvl>
  </w:abstractNum>
  <w:abstractNum w:abstractNumId="1">
    <w:nsid w:val="5F9AABC8"/>
    <w:multiLevelType w:val="singleLevel"/>
    <w:tmpl w:val="5F9AABC8"/>
    <w:lvl w:ilvl="0" w:tentative="0">
      <w:start w:val="1"/>
      <w:numFmt w:val="chineseCounting"/>
      <w:suff w:val="nothing"/>
      <w:lvlText w:val="%1、"/>
      <w:lvlJc w:val="left"/>
    </w:lvl>
  </w:abstractNum>
  <w:abstractNum w:abstractNumId="2">
    <w:nsid w:val="5F9AABF5"/>
    <w:multiLevelType w:val="singleLevel"/>
    <w:tmpl w:val="5F9AABF5"/>
    <w:lvl w:ilvl="0" w:tentative="0">
      <w:start w:val="3"/>
      <w:numFmt w:val="chineseCounting"/>
      <w:suff w:val="nothing"/>
      <w:lvlText w:val="%1、"/>
      <w:lvlJc w:val="left"/>
    </w:lvl>
  </w:abstractNum>
  <w:abstractNum w:abstractNumId="3">
    <w:nsid w:val="5F9ABFBB"/>
    <w:multiLevelType w:val="singleLevel"/>
    <w:tmpl w:val="5F9ABFBB"/>
    <w:lvl w:ilvl="0" w:tentative="0">
      <w:start w:val="5"/>
      <w:numFmt w:val="decimal"/>
      <w:suff w:val="nothing"/>
      <w:lvlText w:val="%1."/>
      <w:lvlJc w:val="left"/>
    </w:lvl>
  </w:abstractNum>
  <w:abstractNum w:abstractNumId="4">
    <w:nsid w:val="61A50815"/>
    <w:multiLevelType w:val="singleLevel"/>
    <w:tmpl w:val="61A50815"/>
    <w:lvl w:ilvl="0" w:tentative="0">
      <w:start w:val="10"/>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1477"/>
    <w:rsid w:val="00076182"/>
    <w:rsid w:val="000B2F0C"/>
    <w:rsid w:val="000D49CA"/>
    <w:rsid w:val="000F6E6B"/>
    <w:rsid w:val="001126B6"/>
    <w:rsid w:val="00120093"/>
    <w:rsid w:val="00122D5C"/>
    <w:rsid w:val="00145241"/>
    <w:rsid w:val="00154D60"/>
    <w:rsid w:val="001B1C68"/>
    <w:rsid w:val="001B2FAF"/>
    <w:rsid w:val="001E2B7A"/>
    <w:rsid w:val="00232780"/>
    <w:rsid w:val="00277DF1"/>
    <w:rsid w:val="00286404"/>
    <w:rsid w:val="00296C9C"/>
    <w:rsid w:val="002E109B"/>
    <w:rsid w:val="002E4100"/>
    <w:rsid w:val="00312181"/>
    <w:rsid w:val="00323B43"/>
    <w:rsid w:val="003448FF"/>
    <w:rsid w:val="0036061D"/>
    <w:rsid w:val="003637C1"/>
    <w:rsid w:val="00376B69"/>
    <w:rsid w:val="00380430"/>
    <w:rsid w:val="0038555D"/>
    <w:rsid w:val="003914DF"/>
    <w:rsid w:val="003A5ABC"/>
    <w:rsid w:val="003C4AE7"/>
    <w:rsid w:val="003D37D8"/>
    <w:rsid w:val="00426133"/>
    <w:rsid w:val="004358AB"/>
    <w:rsid w:val="00443F3D"/>
    <w:rsid w:val="0048011F"/>
    <w:rsid w:val="004978B3"/>
    <w:rsid w:val="004A1481"/>
    <w:rsid w:val="004D50F6"/>
    <w:rsid w:val="004F2007"/>
    <w:rsid w:val="005A7E66"/>
    <w:rsid w:val="005D7BCD"/>
    <w:rsid w:val="005E2254"/>
    <w:rsid w:val="005E4C3B"/>
    <w:rsid w:val="00611DF1"/>
    <w:rsid w:val="006A62AC"/>
    <w:rsid w:val="006C2379"/>
    <w:rsid w:val="006D4024"/>
    <w:rsid w:val="00700202"/>
    <w:rsid w:val="007842FB"/>
    <w:rsid w:val="00794181"/>
    <w:rsid w:val="007E1786"/>
    <w:rsid w:val="008028A5"/>
    <w:rsid w:val="0081037E"/>
    <w:rsid w:val="008114E7"/>
    <w:rsid w:val="008B7726"/>
    <w:rsid w:val="008D42D2"/>
    <w:rsid w:val="009579DF"/>
    <w:rsid w:val="009827AD"/>
    <w:rsid w:val="009E76F0"/>
    <w:rsid w:val="00A574B3"/>
    <w:rsid w:val="00A817BC"/>
    <w:rsid w:val="00B36309"/>
    <w:rsid w:val="00B7364E"/>
    <w:rsid w:val="00BB49E6"/>
    <w:rsid w:val="00BD74A9"/>
    <w:rsid w:val="00C82D14"/>
    <w:rsid w:val="00CD2867"/>
    <w:rsid w:val="00D06EF7"/>
    <w:rsid w:val="00D12F97"/>
    <w:rsid w:val="00D31548"/>
    <w:rsid w:val="00D31D50"/>
    <w:rsid w:val="00D56F2A"/>
    <w:rsid w:val="00D7100C"/>
    <w:rsid w:val="00D97B9A"/>
    <w:rsid w:val="00DE3C81"/>
    <w:rsid w:val="00E02922"/>
    <w:rsid w:val="00E211BC"/>
    <w:rsid w:val="00E466B5"/>
    <w:rsid w:val="00EA21FF"/>
    <w:rsid w:val="00ED5BB8"/>
    <w:rsid w:val="00F17ABB"/>
    <w:rsid w:val="00F2383A"/>
    <w:rsid w:val="00F618B7"/>
    <w:rsid w:val="00F934FF"/>
    <w:rsid w:val="00FC43B9"/>
    <w:rsid w:val="00FD5303"/>
    <w:rsid w:val="00FF227D"/>
    <w:rsid w:val="0295603A"/>
    <w:rsid w:val="0A9840EA"/>
    <w:rsid w:val="118A0033"/>
    <w:rsid w:val="19824345"/>
    <w:rsid w:val="1B391583"/>
    <w:rsid w:val="1CC47CC2"/>
    <w:rsid w:val="1F4E4714"/>
    <w:rsid w:val="32C36E24"/>
    <w:rsid w:val="35E850EF"/>
    <w:rsid w:val="373C45CB"/>
    <w:rsid w:val="42066303"/>
    <w:rsid w:val="4E75752A"/>
    <w:rsid w:val="52131C6C"/>
    <w:rsid w:val="59B76DE2"/>
    <w:rsid w:val="5EFC06F0"/>
    <w:rsid w:val="62A87EB0"/>
    <w:rsid w:val="62ED6A66"/>
    <w:rsid w:val="64496A02"/>
    <w:rsid w:val="66D93B4D"/>
    <w:rsid w:val="67E77701"/>
    <w:rsid w:val="6AD4284C"/>
    <w:rsid w:val="6CC379A5"/>
    <w:rsid w:val="711718F7"/>
    <w:rsid w:val="784D15ED"/>
    <w:rsid w:val="78503656"/>
    <w:rsid w:val="7B6249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adjustRightInd/>
      <w:snapToGrid/>
      <w:spacing w:after="100" w:line="276" w:lineRule="auto"/>
      <w:ind w:left="440"/>
    </w:pPr>
    <w:rPr>
      <w:rFonts w:asciiTheme="minorHAnsi" w:hAnsiTheme="minorHAnsi" w:eastAsiaTheme="minorEastAsia"/>
    </w:rPr>
  </w:style>
  <w:style w:type="paragraph" w:styleId="4">
    <w:name w:val="Balloon Text"/>
    <w:basedOn w:val="1"/>
    <w:link w:val="17"/>
    <w:semiHidden/>
    <w:unhideWhenUsed/>
    <w:uiPriority w:val="99"/>
    <w:pPr>
      <w:spacing w:after="0"/>
    </w:pPr>
    <w:rPr>
      <w:sz w:val="18"/>
      <w:szCs w:val="18"/>
    </w:rPr>
  </w:style>
  <w:style w:type="paragraph" w:styleId="5">
    <w:name w:val="footer"/>
    <w:basedOn w:val="1"/>
    <w:unhideWhenUsed/>
    <w:qFormat/>
    <w:uiPriority w:val="99"/>
    <w:pPr>
      <w:tabs>
        <w:tab w:val="center" w:pos="4153"/>
        <w:tab w:val="right" w:pos="8306"/>
      </w:tabs>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toc 1"/>
    <w:basedOn w:val="1"/>
    <w:next w:val="1"/>
    <w:unhideWhenUsed/>
    <w:qFormat/>
    <w:uiPriority w:val="39"/>
  </w:style>
  <w:style w:type="paragraph" w:styleId="8">
    <w:name w:val="toc 2"/>
    <w:basedOn w:val="1"/>
    <w:next w:val="1"/>
    <w:semiHidden/>
    <w:unhideWhenUsed/>
    <w:qFormat/>
    <w:uiPriority w:val="39"/>
    <w:pPr>
      <w:adjustRightInd/>
      <w:snapToGrid/>
      <w:spacing w:after="100" w:line="276" w:lineRule="auto"/>
      <w:ind w:left="220"/>
    </w:pPr>
    <w:rPr>
      <w:rFonts w:asciiTheme="minorHAnsi" w:hAnsiTheme="minorHAnsi" w:eastAsiaTheme="minorEastAsia"/>
    </w:rPr>
  </w:style>
  <w:style w:type="character" w:styleId="11">
    <w:name w:val="Hyperlink"/>
    <w:basedOn w:val="10"/>
    <w:unhideWhenUsed/>
    <w:qFormat/>
    <w:uiPriority w:val="99"/>
    <w:rPr>
      <w:color w:val="0000FF" w:themeColor="hyperlink"/>
      <w:u w:val="single"/>
    </w:rPr>
  </w:style>
  <w:style w:type="paragraph" w:customStyle="1" w:styleId="12">
    <w:name w:val="p0"/>
    <w:basedOn w:val="1"/>
    <w:qFormat/>
    <w:uiPriority w:val="0"/>
    <w:pPr>
      <w:adjustRightInd/>
      <w:snapToGrid/>
      <w:spacing w:after="0"/>
      <w:jc w:val="both"/>
    </w:pPr>
    <w:rPr>
      <w:rFonts w:ascii="仿宋_GB2312" w:hAnsi="宋体" w:eastAsia="仿宋_GB2312" w:cs="宋体"/>
      <w:sz w:val="32"/>
      <w:szCs w:val="32"/>
    </w:rPr>
  </w:style>
  <w:style w:type="paragraph" w:customStyle="1" w:styleId="13">
    <w:name w:val="p19"/>
    <w:qFormat/>
    <w:uiPriority w:val="0"/>
    <w:rPr>
      <w:rFonts w:ascii="Times New Roman" w:hAnsi="Times New Roman" w:eastAsia="宋体" w:cs="Times New Roman"/>
      <w:sz w:val="21"/>
      <w:szCs w:val="22"/>
      <w:lang w:val="en-US" w:eastAsia="zh-CN" w:bidi="ar-SA"/>
    </w:rPr>
  </w:style>
  <w:style w:type="paragraph" w:customStyle="1" w:styleId="14">
    <w:name w:val="WPSOffice手动目录 2"/>
    <w:qFormat/>
    <w:uiPriority w:val="0"/>
    <w:pPr>
      <w:ind w:left="200" w:leftChars="200"/>
    </w:pPr>
    <w:rPr>
      <w:rFonts w:ascii="Times New Roman" w:hAnsi="Times New Roman" w:eastAsia="宋体" w:cs="Times New Roman"/>
      <w:sz w:val="21"/>
      <w:szCs w:val="22"/>
      <w:lang w:val="en-US" w:eastAsia="zh-CN" w:bidi="ar-SA"/>
    </w:rPr>
  </w:style>
  <w:style w:type="character" w:customStyle="1" w:styleId="15">
    <w:name w:val="标题 1 Char"/>
    <w:basedOn w:val="10"/>
    <w:link w:val="2"/>
    <w:qFormat/>
    <w:uiPriority w:val="9"/>
    <w:rPr>
      <w:rFonts w:ascii="Tahoma" w:hAnsi="Tahoma" w:eastAsia="微软雅黑" w:cstheme="minorBidi"/>
      <w:b/>
      <w:bCs/>
      <w:kern w:val="44"/>
      <w:sz w:val="44"/>
      <w:szCs w:val="44"/>
    </w:rPr>
  </w:style>
  <w:style w:type="paragraph" w:customStyle="1" w:styleId="16">
    <w:name w:val="TOC Heading"/>
    <w:basedOn w:val="2"/>
    <w:next w:val="1"/>
    <w:semiHidden/>
    <w:unhideWhenUsed/>
    <w:qFormat/>
    <w:uiPriority w:val="39"/>
    <w:pPr>
      <w:adjustRightInd/>
      <w:snapToGrid/>
      <w:spacing w:before="480" w:after="0" w:line="276" w:lineRule="auto"/>
      <w:outlineLvl w:val="9"/>
    </w:pPr>
    <w:rPr>
      <w:rFonts w:asciiTheme="majorHAnsi" w:hAnsiTheme="majorHAnsi" w:eastAsiaTheme="majorEastAsia" w:cstheme="majorBidi"/>
      <w:color w:val="366091" w:themeColor="accent1" w:themeShade="BF"/>
      <w:kern w:val="0"/>
      <w:sz w:val="28"/>
      <w:szCs w:val="28"/>
    </w:rPr>
  </w:style>
  <w:style w:type="character" w:customStyle="1" w:styleId="17">
    <w:name w:val="批注框文本 Char"/>
    <w:basedOn w:val="10"/>
    <w:link w:val="4"/>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BE310-53C5-44C6-A03B-FF652F131C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1543</Words>
  <Characters>8796</Characters>
  <Lines>73</Lines>
  <Paragraphs>20</Paragraphs>
  <TotalTime>0</TotalTime>
  <ScaleCrop>false</ScaleCrop>
  <LinksUpToDate>false</LinksUpToDate>
  <CharactersWithSpaces>10319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天真吴邪</cp:lastModifiedBy>
  <dcterms:modified xsi:type="dcterms:W3CDTF">2021-06-03T07:51:14Z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719D3A6D47DB40F3841D5840193F5378</vt:lpwstr>
  </property>
</Properties>
</file>